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华夏理财固定收益纯债型封闭式理财产品337号</w:t>
      </w:r>
    </w:p>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Z7003926000268</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华夏理财固定收益纯债型封闭式理财产品337号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A份额简称：“华夏理财固收纯债封闭式337号182天A”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B份额简称：“华夏理财固收纯债封闭式337号182天B”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C份额简称：“华夏理财固收纯债封闭式337号182天C”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D份额简称：“华夏理财固收纯债封闭式337号182天D”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E份额简称：“华夏理财固收纯债封闭式337号182天E”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H份额简称：“华夏理财固收纯债封闭式337号182天H”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26111036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A份额代码：26111036A</w:t>
            </w:r>
            <w:r>
              <w:rPr>
                <w:rFonts w:ascii="仿宋" w:hAnsi="仿宋" w:eastAsia="仿宋"/>
                <w:bCs/>
                <w:szCs w:val="21"/>
                <w:highlight w:val="none"/>
                <w:u w:val="none"/>
              </w:rPr>
              <w:br w:type="textWrapping"/>
            </w:r>
            <w:r>
              <w:rPr>
                <w:rFonts w:ascii="仿宋" w:hAnsi="仿宋" w:eastAsia="仿宋"/>
                <w:bCs/>
                <w:szCs w:val="21"/>
                <w:highlight w:val="none"/>
                <w:u w:val="none"/>
              </w:rPr>
              <w:t>B份额代码：26111036B</w:t>
            </w:r>
            <w:r>
              <w:rPr>
                <w:rFonts w:ascii="仿宋" w:hAnsi="仿宋" w:eastAsia="仿宋"/>
                <w:bCs/>
                <w:szCs w:val="21"/>
                <w:highlight w:val="none"/>
                <w:u w:val="none"/>
              </w:rPr>
              <w:br w:type="textWrapping"/>
            </w:r>
            <w:r>
              <w:rPr>
                <w:rFonts w:ascii="仿宋" w:hAnsi="仿宋" w:eastAsia="仿宋"/>
                <w:bCs/>
                <w:szCs w:val="21"/>
                <w:highlight w:val="none"/>
                <w:u w:val="none"/>
              </w:rPr>
              <w:t>C份额代码：26111036C</w:t>
            </w:r>
            <w:r>
              <w:rPr>
                <w:rFonts w:ascii="仿宋" w:hAnsi="仿宋" w:eastAsia="仿宋"/>
                <w:bCs/>
                <w:szCs w:val="21"/>
                <w:highlight w:val="none"/>
                <w:u w:val="none"/>
              </w:rPr>
              <w:br w:type="textWrapping"/>
            </w:r>
            <w:r>
              <w:rPr>
                <w:rFonts w:ascii="仿宋" w:hAnsi="仿宋" w:eastAsia="仿宋"/>
                <w:bCs/>
                <w:szCs w:val="21"/>
                <w:highlight w:val="none"/>
                <w:u w:val="none"/>
              </w:rPr>
              <w:t>D份额代码：26111036D</w:t>
            </w:r>
            <w:r>
              <w:rPr>
                <w:rFonts w:ascii="仿宋" w:hAnsi="仿宋" w:eastAsia="仿宋"/>
                <w:bCs/>
                <w:szCs w:val="21"/>
                <w:highlight w:val="none"/>
                <w:u w:val="none"/>
              </w:rPr>
              <w:br w:type="textWrapping"/>
            </w:r>
            <w:r>
              <w:rPr>
                <w:rFonts w:ascii="仿宋" w:hAnsi="仿宋" w:eastAsia="仿宋"/>
                <w:bCs/>
                <w:szCs w:val="21"/>
                <w:highlight w:val="none"/>
                <w:u w:val="none"/>
              </w:rPr>
              <w:t>E份额代码：26111036E</w:t>
            </w:r>
            <w:r>
              <w:rPr>
                <w:rFonts w:ascii="仿宋" w:hAnsi="仿宋" w:eastAsia="仿宋"/>
                <w:bCs/>
                <w:szCs w:val="21"/>
                <w:highlight w:val="none"/>
                <w:u w:val="none"/>
              </w:rPr>
              <w:br w:type="textWrapping"/>
            </w:r>
            <w:r>
              <w:rPr>
                <w:rFonts w:ascii="仿宋" w:hAnsi="仿宋" w:eastAsia="仿宋"/>
                <w:bCs/>
                <w:szCs w:val="21"/>
                <w:highlight w:val="none"/>
                <w:u w:val="none"/>
              </w:rPr>
              <w:t>H份额代码：26111036H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Z7003926000268</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2.05%（年化）；E份额：业绩比较基准为2.00%（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OLE_LINK3"/>
            <w:bookmarkStart w:id="2" w:name="_Hlk290294163"/>
            <w:bookmarkStart w:id="3" w:name="OLE_LINK2"/>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2026年3月3日</w:t>
            </w:r>
            <w:r>
              <w:rPr>
                <w:rFonts w:hint="eastAsia" w:ascii="仿宋" w:hAnsi="仿宋" w:eastAsia="仿宋"/>
                <w:bCs/>
                <w:szCs w:val="21"/>
                <w:highlight w:val="none"/>
              </w:rPr>
              <w:t>－</w:t>
            </w:r>
            <w:r>
              <w:rPr>
                <w:rFonts w:hint="eastAsia" w:ascii="仿宋" w:hAnsi="仿宋" w:eastAsia="仿宋"/>
                <w:bCs/>
                <w:szCs w:val="21"/>
                <w:highlight w:val="none"/>
              </w:rPr>
              <w:t>2026年3月9日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2026年3月10日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182</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2026年9月8日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本产品计划发行规模下限为2,000万元。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本理财产品超额管理费的计算公式：</w:t>
            </w:r>
            <w:bookmarkStart w:id="6" w:name="_GoBack"/>
            <w:bookmarkEnd w:id="6"/>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产品封闭期</w:t>
            </w:r>
            <w:r>
              <w:rPr>
                <w:rFonts w:hint="eastAsia" w:ascii="仿宋" w:hAnsi="仿宋" w:eastAsia="仿宋"/>
                <w:b/>
                <w:bCs/>
                <w:szCs w:val="21"/>
                <w:highlight w:val="none"/>
              </w:rPr>
              <w:t>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pStyle w:val="1"/>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pStyle w:val="1"/>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pStyle w:val="1"/>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lang w:val="en-US" w:eastAsia="zh-CN"/>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pStyle w:val="1"/>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pStyle w:val="1"/>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pStyle w:val="1"/>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spacing w:line="276" w:lineRule="auto"/>
        <w:contextualSpacing/>
        <w:jc w:val="left"/>
        <w:rPr>
          <w:rFonts w:ascii="仿宋" w:hAnsi="仿宋" w:eastAsia="仿宋" w:cs="宋体"/>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pStyle w:val="1"/>
        <w:rPr>
          <w:highlight w:val="none"/>
        </w:rPr>
      </w:pPr>
    </w:p>
    <w:p>
      <w:pPr>
        <w:pStyle w:val="1"/>
        <w:pageBreakBefore w:val="true"/>
      </w:pPr>
    </w:p>
    <w:p>
      <w:pPr>
        <w:pStyle w:val="76a60f93"/>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3"/>
                    <a:stretch>
                      <a:fillRect/>
                    </a:stretch>
                  </pic:blipFill>
                  <pic:spPr>
                    <a:xfrm>
                      <a:off x="0" y="0"/>
                      <a:ext cx="2767330" cy="467360"/>
                    </a:xfrm>
                    <a:prstGeom prst="rect">
                      <a:avLst/>
                    </a:prstGeom>
                    <a:noFill/>
                    <a:ln>
                      <a:noFill/>
                    </a:ln>
                  </pic:spPr>
                </pic:pic>
              </a:graphicData>
            </a:graphic>
          </wp:inline>
        </w:drawing>
      </w:r>
    </w:p>
    <w:p>
      <w:pPr>
        <w:pStyle w:val="76a60f93"/>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76a60f93"/>
        <w:spacing w:line="360" w:lineRule="auto"/>
        <w:rPr>
          <w:rFonts w:ascii="宋体" w:hAnsi="宋体" w:cs="宋体"/>
          <w:sz w:val="24"/>
        </w:rPr>
      </w:pPr>
    </w:p>
    <w:p>
      <w:pPr>
        <w:pStyle w:val="76a60f93"/>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76a60f93"/>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76a60f9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76a60f9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76a60f9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76a60f93"/>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76a60f93"/>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76a60f93"/>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76a60f93"/>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76a60f93"/>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76a60f93"/>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26111036H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182天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76a60f93"/>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a449d4be"/>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76a60f93"/>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310bdf8a"/>
        <w:spacing w:line="360" w:lineRule="auto"/>
        <w:ind w:firstLine="0"/>
        <w:rPr>
          <w:rFonts w:hint="eastAsia" w:ascii="仿宋" w:hAnsi="仿宋" w:eastAsia="仿宋" w:cs="仿宋"/>
          <w:b/>
          <w:sz w:val="21"/>
          <w:szCs w:val="21"/>
        </w:rPr>
      </w:pPr>
    </w:p>
    <w:p>
      <w:pPr>
        <w:pStyle w:val="76a60f93"/>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76a60f93"/>
        <w:spacing w:line="360" w:lineRule="auto"/>
        <w:ind w:right="420" w:firstLine="1240" w:firstLineChars="588"/>
        <w:jc w:val="right"/>
        <w:rPr>
          <w:rFonts w:hint="eastAsia" w:ascii="仿宋" w:hAnsi="仿宋" w:eastAsia="仿宋" w:cs="仿宋"/>
          <w:b/>
          <w:szCs w:val="21"/>
        </w:rPr>
      </w:pPr>
    </w:p>
    <w:p>
      <w:pPr>
        <w:pStyle w:val="76a60f93"/>
        <w:spacing w:line="360" w:lineRule="auto"/>
        <w:ind w:right="420" w:firstLine="1240" w:firstLineChars="588"/>
        <w:jc w:val="right"/>
        <w:rPr>
          <w:rFonts w:hint="eastAsia" w:ascii="仿宋" w:hAnsi="仿宋" w:eastAsia="仿宋" w:cs="仿宋"/>
          <w:b/>
          <w:szCs w:val="21"/>
        </w:rPr>
      </w:pPr>
    </w:p>
    <w:p>
      <w:pPr>
        <w:pStyle w:val="76a60f93"/>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a449d4be"/>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76a60f93"/>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76a60f93"/>
        <w:spacing w:line="360" w:lineRule="auto"/>
        <w:rPr>
          <w:rFonts w:hint="eastAsia" w:ascii="仿宋" w:hAnsi="仿宋" w:eastAsia="仿宋" w:cs="仿宋"/>
          <w:szCs w:val="21"/>
        </w:rPr>
      </w:pPr>
    </w:p>
    <w:p>
      <w:pPr>
        <w:pStyle w:val="76a60f93"/>
        <w:spacing w:line="360" w:lineRule="auto"/>
        <w:rPr>
          <w:rFonts w:hint="eastAsia" w:ascii="仿宋" w:hAnsi="仿宋" w:eastAsia="仿宋" w:cs="仿宋"/>
          <w:szCs w:val="21"/>
        </w:rPr>
      </w:pPr>
    </w:p>
    <w:p>
      <w:pPr>
        <w:pStyle w:val="76a60f93"/>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76a60f93"/>
        <w:spacing w:line="360" w:lineRule="auto"/>
        <w:ind w:firstLine="6090" w:firstLineChars="2900"/>
        <w:rPr>
          <w:rFonts w:hint="eastAsia" w:ascii="仿宋" w:hAnsi="仿宋" w:eastAsia="仿宋" w:cs="仿宋"/>
          <w:szCs w:val="21"/>
        </w:rPr>
      </w:pPr>
    </w:p>
    <w:p>
      <w:pPr>
        <w:pStyle w:val="76a60f93"/>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76a60f93"/>
        <w:pageBreakBefore w:val="true"/>
      </w:pPr>
    </w:p>
    <w:p>
      <w:pPr>
        <w:pStyle w:val="4155567e"/>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3" o:title=""/>
            <o:lock v:ext="edit" aspectratio="t"/>
            <w10:wrap type="none"/>
            <w10:anchorlock/>
          </v:shape>
        </w:pict>
      </w:r>
    </w:p>
    <w:p>
      <w:pPr>
        <w:pStyle w:val="10950c82"/>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10950c82"/>
        <w:spacing w:line="360" w:lineRule="auto"/>
        <w:jc w:val="left"/>
        <w:rPr>
          <w:rFonts w:hint="eastAsia" w:ascii="仿宋" w:hAnsi="仿宋" w:eastAsia="仿宋" w:cs="仿宋"/>
          <w:b/>
          <w:szCs w:val="21"/>
        </w:rPr>
      </w:pPr>
    </w:p>
    <w:p>
      <w:pPr>
        <w:pStyle w:val="10950c82"/>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10950c82"/>
        <w:spacing w:line="360" w:lineRule="auto"/>
        <w:rPr>
          <w:rFonts w:hint="eastAsia" w:ascii="仿宋" w:hAnsi="仿宋" w:eastAsia="仿宋" w:cs="仿宋"/>
          <w:szCs w:val="21"/>
        </w:rPr>
      </w:pPr>
    </w:p>
    <w:p>
      <w:pPr>
        <w:pStyle w:val="10950c82"/>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10950c82"/>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10950c82"/>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10950c82"/>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10950c82"/>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eaf6cafc"/>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10950c82"/>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10950c82"/>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10950c82"/>
        <w:spacing w:line="360" w:lineRule="auto"/>
        <w:rPr>
          <w:rFonts w:hint="eastAsia" w:ascii="仿宋" w:hAnsi="仿宋" w:eastAsia="仿宋" w:cs="仿宋"/>
          <w:szCs w:val="21"/>
        </w:rPr>
      </w:pPr>
    </w:p>
    <w:p>
      <w:pPr>
        <w:pStyle w:val="10950c82"/>
        <w:spacing w:line="360" w:lineRule="auto"/>
        <w:rPr>
          <w:rFonts w:hint="eastAsia" w:ascii="仿宋" w:hAnsi="仿宋" w:eastAsia="仿宋" w:cs="仿宋"/>
          <w:szCs w:val="21"/>
        </w:rPr>
      </w:pPr>
    </w:p>
    <w:p>
      <w:pPr>
        <w:pStyle w:val="10950c82"/>
        <w:spacing w:line="360" w:lineRule="auto"/>
        <w:rPr>
          <w:rFonts w:hint="eastAsia" w:ascii="仿宋" w:hAnsi="仿宋" w:eastAsia="仿宋" w:cs="仿宋"/>
          <w:szCs w:val="21"/>
        </w:rPr>
      </w:pPr>
    </w:p>
    <w:p>
      <w:pPr>
        <w:pStyle w:val="10950c82"/>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10950c82"/>
        <w:pageBreakBefore w:val="true"/>
      </w:pPr>
    </w:p>
    <w:p>
      <w:pPr>
        <w:pStyle w:val="ebbbd434"/>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3" o:title=""/>
            <o:lock v:ext="edit" grouping="f" rotation="f" text="f" aspectratio="t"/>
            <w10:wrap type="none"/>
            <w10:anchorlock/>
          </v:shape>
        </w:pict>
      </w:r>
    </w:p>
    <w:p>
      <w:pPr>
        <w:pStyle w:val="ebbbd434"/>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ebbbd434"/>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ebbbd434"/>
        <w:adjustRightInd w:val="0"/>
        <w:snapToGrid w:val="0"/>
        <w:spacing w:line="360" w:lineRule="auto"/>
        <w:jc w:val="center"/>
        <w:rPr>
          <w:rFonts w:hint="eastAsia" w:ascii="仿宋" w:hAnsi="仿宋" w:eastAsia="仿宋" w:cs="仿宋"/>
          <w:b/>
          <w:szCs w:val="21"/>
        </w:rPr>
      </w:pPr>
    </w:p>
    <w:p>
      <w:pPr>
        <w:pStyle w:val="ebbbd434"/>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ebbbd434"/>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ebbbd434"/>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ebbbd434"/>
        <w:adjustRightInd w:val="0"/>
        <w:snapToGrid w:val="0"/>
        <w:spacing w:line="360" w:lineRule="auto"/>
        <w:ind w:firstLine="422" w:firstLineChars="200"/>
        <w:jc w:val="left"/>
        <w:rPr>
          <w:rFonts w:hint="eastAsia" w:ascii="仿宋" w:hAnsi="仿宋" w:eastAsia="仿宋" w:cs="仿宋"/>
          <w:b/>
          <w:color w:val="000000"/>
          <w:szCs w:val="21"/>
        </w:rPr>
      </w:pP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ebbbd434"/>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ebbbd434"/>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ebbbd434"/>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ebbbd434"/>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ebbbd434"/>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ebbbd434"/>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ebbbd434"/>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ebbbd434"/>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ebbbd434"/>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ebbbd434"/>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ebbbd434"/>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ebbbd434"/>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ebbbd434"/>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ebbbd434"/>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ebbbd434"/>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ebbbd434"/>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ebbbd434"/>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ebbbd434"/>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ebbbd434"/>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ebbbd434"/>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ebbbd434"/>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ebbbd434"/>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ebbbd434"/>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ebbbd434"/>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ebbbd434"/>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ebbbd434"/>
        <w:adjustRightInd w:val="0"/>
        <w:snapToGrid w:val="0"/>
        <w:spacing w:line="360" w:lineRule="auto"/>
        <w:ind w:firstLine="420" w:firstLineChars="200"/>
        <w:rPr>
          <w:rFonts w:hint="eastAsia" w:ascii="仿宋" w:hAnsi="仿宋" w:eastAsia="仿宋" w:cs="仿宋"/>
          <w:color w:val="000000"/>
          <w:szCs w:val="21"/>
        </w:rPr>
      </w:pPr>
    </w:p>
    <w:p>
      <w:pPr>
        <w:pStyle w:val="ebbbd434"/>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ebbbd434"/>
        <w:adjustRightInd w:val="0"/>
        <w:snapToGrid w:val="0"/>
        <w:spacing w:line="360" w:lineRule="auto"/>
        <w:ind w:firstLine="422" w:firstLineChars="200"/>
        <w:rPr>
          <w:rFonts w:hint="eastAsia" w:ascii="仿宋" w:hAnsi="仿宋" w:eastAsia="仿宋" w:cs="仿宋"/>
          <w:b/>
          <w:bCs/>
          <w:color w:val="000000"/>
          <w:szCs w:val="21"/>
        </w:rPr>
      </w:pPr>
    </w:p>
    <w:p>
      <w:pPr>
        <w:pStyle w:val="ebbbd434"/>
        <w:adjustRightInd w:val="0"/>
        <w:snapToGrid w:val="0"/>
        <w:spacing w:line="360" w:lineRule="auto"/>
        <w:ind w:firstLine="422" w:firstLineChars="200"/>
        <w:rPr>
          <w:rFonts w:hint="eastAsia" w:ascii="仿宋" w:hAnsi="仿宋" w:eastAsia="仿宋" w:cs="仿宋"/>
          <w:b/>
          <w:bCs/>
          <w:color w:val="000000"/>
          <w:szCs w:val="21"/>
        </w:rPr>
      </w:pPr>
    </w:p>
    <w:p>
      <w:pPr>
        <w:pStyle w:val="ebbbd434"/>
        <w:adjustRightInd w:val="0"/>
        <w:snapToGrid w:val="0"/>
        <w:spacing w:line="360" w:lineRule="auto"/>
        <w:ind w:firstLine="420" w:firstLineChars="200"/>
        <w:rPr>
          <w:rFonts w:hint="eastAsia" w:ascii="仿宋" w:hAnsi="仿宋" w:eastAsia="仿宋" w:cs="仿宋"/>
        </w:rPr>
      </w:pPr>
    </w:p>
    <w:p>
      <w:pPr>
        <w:pStyle w:val="ebbbd434"/>
        <w:adjustRightInd w:val="0"/>
        <w:snapToGrid w:val="0"/>
        <w:spacing w:line="360" w:lineRule="auto"/>
        <w:ind w:firstLine="420" w:firstLineChars="200"/>
        <w:rPr>
          <w:rFonts w:hint="eastAsia" w:ascii="仿宋" w:hAnsi="仿宋" w:eastAsia="仿宋" w:cs="仿宋"/>
        </w:rPr>
      </w:pPr>
    </w:p>
    <w:p>
      <w:pPr>
        <w:pStyle w:val="ebbbd434"/>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ebbbd434"/>
        <w:adjustRightInd w:val="0"/>
        <w:snapToGrid w:val="0"/>
        <w:spacing w:line="360" w:lineRule="auto"/>
        <w:ind w:firstLine="420" w:firstLineChars="200"/>
        <w:rPr>
          <w:rFonts w:hint="eastAsia" w:ascii="仿宋" w:hAnsi="仿宋" w:eastAsia="仿宋" w:cs="仿宋"/>
          <w:color w:val="000000"/>
          <w:szCs w:val="21"/>
        </w:rPr>
      </w:pPr>
    </w:p>
    <w:p>
      <w:pPr>
        <w:pStyle w:val="ebbbd434"/>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ebbbd434"/>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ebbbd434"/>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ebbbd434"/>
        <w:pageBreakBefore w:val="true"/>
      </w:pPr>
    </w:p>
    <w:p>
      <w:pPr>
        <w:pStyle w:val="3f681e16"/>
        <w:spacing w:line="360" w:lineRule="auto"/>
        <w:rPr>
          <w:rFonts w:hint="eastAsia" w:ascii="仿宋" w:hAnsi="仿宋" w:eastAsia="仿宋" w:cs="仿宋"/>
          <w:b/>
          <w:sz w:val="32"/>
          <w:szCs w:val="32"/>
        </w:rPr>
      </w:pPr>
      <w:r>
        <w:rPr>
          <w:rFonts w:hint="eastAsia" w:ascii="仿宋" w:hAnsi="仿宋" w:eastAsia="仿宋" w:cs="仿宋"/>
          <w:sz w:val="36"/>
          <w:szCs w:val="36"/>
        </w:rPr>
        <w:pict>
          <v:shape id="_x0000_i1025" o:spt="75" type="#_x0000_t75" style="height:36.8pt;width:217.9pt;" filled="f" o:preferrelative="t" stroked="f" coordsize="21600,21600">
            <v:path/>
            <v:fill on="f" focussize="0,0"/>
            <v:stroke on="f"/>
            <v:imagedata r:id="rId3" o:title=""/>
            <o:lock v:ext="edit" aspectratio="t"/>
            <w10:wrap type="none"/>
            <w10:anchorlock/>
          </v:shape>
        </w:pict>
      </w:r>
    </w:p>
    <w:p>
      <w:pPr>
        <w:pStyle w:val="3f681e16"/>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华夏理财有限责任公司理财产品销售协议书</w:t>
      </w:r>
    </w:p>
    <w:p>
      <w:pPr>
        <w:pStyle w:val="3f681e16"/>
        <w:spacing w:line="360" w:lineRule="auto"/>
        <w:jc w:val="center"/>
        <w:rPr>
          <w:rFonts w:hint="eastAsia" w:ascii="仿宋" w:hAnsi="仿宋" w:eastAsia="仿宋" w:cs="仿宋"/>
          <w:b/>
          <w:szCs w:val="21"/>
        </w:rPr>
      </w:pPr>
    </w:p>
    <w:p>
      <w:pPr>
        <w:pStyle w:val="3f681e16"/>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rPr>
        <w:t>本协议适用于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3f681e16"/>
        <w:spacing w:line="360" w:lineRule="auto"/>
        <w:ind w:firstLine="422" w:firstLineChars="200"/>
        <w:rPr>
          <w:rFonts w:hint="eastAsia" w:ascii="仿宋" w:hAnsi="仿宋" w:eastAsia="仿宋" w:cs="仿宋"/>
          <w:b/>
          <w:szCs w:val="21"/>
          <w:u w:val="single"/>
        </w:rPr>
      </w:pPr>
    </w:p>
    <w:p>
      <w:pPr>
        <w:pStyle w:val="3f681e16"/>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3f681e16"/>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客户：为了维护您的权益，请在签署本协议前，仔细阅读本协议各条款（特别是含有黑体文字的条款），充分了解华夏理财有限责任公司理财业务运作规则。如您有疑问或不明之处，请向代销机构或华夏理财有限责任公司咨询，或者咨询您的律师和有关专业人士。如需业务咨询和投诉，请拨打□华夏理财客户服务热线（4001795577）、□或</w:t>
      </w:r>
      <w:r>
        <w:rPr>
          <w:rFonts w:hint="eastAsia" w:ascii="微软简仿宋" w:hAnsi="宋体" w:eastAsia="微软简仿宋"/>
          <w:b/>
          <w:szCs w:val="21"/>
          <w:u w:val="single"/>
        </w:rPr>
        <w:t>厦门银行股份有限公司</w:t>
      </w:r>
      <w:r>
        <w:rPr>
          <w:rFonts w:hint="eastAsia" w:ascii="仿宋" w:hAnsi="仿宋" w:eastAsia="仿宋" w:cs="仿宋"/>
          <w:color w:val="000000"/>
          <w:sz w:val="21"/>
          <w:szCs w:val="21"/>
          <w:u w:val="single"/>
        </w:rPr>
        <w:t xml:space="preserve">  </w:t>
      </w:r>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3f681e16"/>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3f681e16"/>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理财非存款、产品有风险、投资须谨慎。非保本浮动收益、净值型理财产品不保证本金和收益，投资者的本金可能会因市场变动而蒙受损失，投资者应充分理解产品的风险评级，充分认识投资风险，谨慎投资。</w:t>
      </w:r>
    </w:p>
    <w:p>
      <w:pPr>
        <w:pStyle w:val="3f681e16"/>
        <w:spacing w:line="360" w:lineRule="auto"/>
        <w:ind w:firstLine="422" w:firstLineChars="200"/>
        <w:rPr>
          <w:rFonts w:hint="eastAsia" w:ascii="仿宋" w:hAnsi="仿宋" w:eastAsia="仿宋" w:cs="仿宋"/>
          <w:b/>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本协议书中的任何业绩比较基准、测算收益或类似表述均</w:t>
      </w:r>
      <w:r>
        <w:rPr>
          <w:rFonts w:hint="eastAsia" w:ascii="仿宋" w:hAnsi="仿宋" w:eastAsia="仿宋" w:cs="仿宋"/>
          <w:b/>
          <w:color w:val="000000"/>
          <w:szCs w:val="21"/>
          <w:lang w:val="en-US" w:eastAsia="zh-CN"/>
        </w:rPr>
        <w:t>不是预期收益率，</w:t>
      </w:r>
      <w:r>
        <w:rPr>
          <w:rFonts w:hint="eastAsia" w:ascii="仿宋" w:hAnsi="仿宋" w:eastAsia="仿宋" w:cs="仿宋"/>
          <w:b/>
          <w:color w:val="000000"/>
          <w:szCs w:val="21"/>
        </w:rPr>
        <w:t>不代表</w:t>
      </w:r>
      <w:r>
        <w:rPr>
          <w:rFonts w:hint="eastAsia" w:ascii="仿宋" w:hAnsi="仿宋" w:eastAsia="仿宋" w:cs="仿宋"/>
          <w:b/>
          <w:color w:val="000000"/>
          <w:szCs w:val="21"/>
          <w:lang w:val="en-US" w:eastAsia="zh-CN"/>
        </w:rPr>
        <w:t>产品的未来表现和</w:t>
      </w:r>
      <w:r>
        <w:rPr>
          <w:rFonts w:hint="eastAsia" w:ascii="仿宋" w:hAnsi="仿宋" w:eastAsia="仿宋" w:cs="仿宋"/>
          <w:b/>
          <w:color w:val="000000"/>
          <w:szCs w:val="21"/>
        </w:rPr>
        <w:t>投资者可能获得的实际收益，亦不构成华夏理财有限责任公司和代销机构对本理财产品的任何收益承诺。理财产品的过往平均业绩和最好、最差业绩或类似表述均不代表</w:t>
      </w:r>
      <w:r>
        <w:rPr>
          <w:rFonts w:hint="eastAsia" w:ascii="仿宋" w:hAnsi="仿宋" w:eastAsia="仿宋" w:cs="仿宋"/>
          <w:b/>
          <w:color w:val="000000"/>
          <w:szCs w:val="21"/>
          <w:lang w:val="en-US" w:eastAsia="zh-CN"/>
        </w:rPr>
        <w:t>产品未来表现，不代表</w:t>
      </w:r>
      <w:r>
        <w:rPr>
          <w:rFonts w:hint="eastAsia" w:ascii="仿宋" w:hAnsi="仿宋" w:eastAsia="仿宋" w:cs="仿宋"/>
          <w:b/>
          <w:color w:val="000000"/>
          <w:szCs w:val="21"/>
        </w:rPr>
        <w:t>甲方最终获得的实际收益，亦不构成乙方和代销机构对理财产品本金和收益的任何承诺或保证</w:t>
      </w:r>
      <w:r>
        <w:rPr>
          <w:rFonts w:hint="eastAsia" w:ascii="仿宋" w:hAnsi="仿宋" w:eastAsia="仿宋" w:cs="仿宋"/>
          <w:b/>
          <w:color w:val="000000"/>
          <w:szCs w:val="21"/>
          <w:lang w:eastAsia="zh-CN"/>
        </w:rPr>
        <w:t>，</w:t>
      </w:r>
      <w:r>
        <w:rPr>
          <w:rFonts w:hint="eastAsia" w:ascii="仿宋" w:hAnsi="仿宋" w:eastAsia="仿宋" w:cs="仿宋"/>
          <w:b/>
          <w:color w:val="000000"/>
          <w:szCs w:val="21"/>
          <w:lang w:val="en-US" w:eastAsia="zh-CN"/>
        </w:rPr>
        <w:t>投资须谨慎</w:t>
      </w:r>
      <w:r>
        <w:rPr>
          <w:rFonts w:hint="eastAsia" w:ascii="仿宋" w:hAnsi="仿宋" w:eastAsia="仿宋" w:cs="仿宋"/>
          <w:b/>
          <w:color w:val="000000"/>
          <w:szCs w:val="21"/>
        </w:rPr>
        <w:t>。风险等级或结构相同的同类理财产品既往的业绩并不代表甲方可预期的收益。</w:t>
      </w:r>
    </w:p>
    <w:p>
      <w:pPr>
        <w:pStyle w:val="3f681e16"/>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本协议与理财产品说明书、理财产品投资协议书、风险揭示书、投资者权益须知及理财产品代销机构提供的其他理财产品销售文件共同构成完整的不可分割的理财产品销售文件，具有同等法律效力。本协议与理财产品说明书不一致的，以理财产品说明书为准；本协议未及事项，以理财产品说明书、风险揭示书、理财产品投资协议书等相关文件约定为准。</w:t>
      </w:r>
    </w:p>
    <w:tbl>
      <w:tblPr>
        <w:tblStyle w:val="f84d5ef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22" w:type="dxa"/>
            <w:gridSpan w:val="2"/>
            <w:noWrap w:val="0"/>
            <w:vAlign w:val="center"/>
          </w:tcPr>
          <w:p>
            <w:pPr>
              <w:adjustRightInd w:val="0"/>
              <w:snapToGrid w:val="0"/>
              <w:spacing w:line="240" w:lineRule="auto"/>
              <w:jc w:val="center"/>
              <w:rPr>
                <w:rFonts w:hint="eastAsia" w:ascii="仿宋" w:hAnsi="仿宋" w:eastAsia="仿宋" w:cs="仿宋"/>
                <w:b/>
                <w:szCs w:val="21"/>
              </w:rPr>
            </w:pPr>
            <w:r>
              <w:rPr>
                <w:rFonts w:hint="eastAsia" w:ascii="仿宋" w:hAnsi="仿宋" w:eastAsia="仿宋" w:cs="仿宋"/>
                <w:bCs/>
                <w:szCs w:val="21"/>
              </w:rPr>
              <w:t>适用于机构投资者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甲方</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zCs w:val="21"/>
              </w:rPr>
              <w:t xml:space="preserve">法定代表人： </w:t>
            </w:r>
          </w:p>
          <w:p>
            <w:pPr>
              <w:adjustRightInd w:val="0"/>
              <w:spacing w:line="312" w:lineRule="auto"/>
              <w:rPr>
                <w:rFonts w:hint="eastAsia" w:ascii="仿宋" w:hAnsi="仿宋" w:eastAsia="仿宋" w:cs="仿宋"/>
                <w:szCs w:val="21"/>
              </w:rPr>
            </w:pPr>
            <w:r>
              <w:rPr>
                <w:rFonts w:hint="eastAsia" w:ascii="仿宋" w:hAnsi="仿宋" w:eastAsia="仿宋" w:cs="仿宋"/>
                <w:spacing w:val="105"/>
                <w:kern w:val="0"/>
                <w:szCs w:val="21"/>
                <w:fitText w:val="1050" w:id="1160849450"/>
              </w:rPr>
              <w:t>联系</w:t>
            </w:r>
            <w:r>
              <w:rPr>
                <w:rFonts w:hint="eastAsia" w:ascii="仿宋" w:hAnsi="仿宋" w:eastAsia="仿宋" w:cs="仿宋"/>
                <w:spacing w:val="0"/>
                <w:kern w:val="0"/>
                <w:szCs w:val="21"/>
                <w:fitText w:val="1050" w:id="1160849450"/>
              </w:rPr>
              <w:t>人</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电</w:t>
            </w:r>
            <w:r>
              <w:rPr>
                <w:rFonts w:hint="eastAsia" w:ascii="仿宋" w:hAnsi="仿宋" w:eastAsia="仿宋" w:cs="仿宋"/>
                <w:spacing w:val="0"/>
                <w:kern w:val="0"/>
                <w:szCs w:val="21"/>
                <w:fitText w:val="1050" w:id="1160849450"/>
              </w:rPr>
              <w:t>话</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传</w:t>
            </w:r>
            <w:r>
              <w:rPr>
                <w:rFonts w:hint="eastAsia" w:ascii="仿宋" w:hAnsi="仿宋" w:eastAsia="仿宋" w:cs="仿宋"/>
                <w:spacing w:val="0"/>
                <w:kern w:val="0"/>
                <w:szCs w:val="21"/>
                <w:fitText w:val="1050" w:id="1160849450"/>
              </w:rPr>
              <w:t>真</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5"/>
                <w:kern w:val="0"/>
                <w:szCs w:val="21"/>
                <w:fitText w:val="1050" w:id="1160849450"/>
              </w:rPr>
              <w:t>通讯地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 xml:space="preserve">：  </w:t>
            </w:r>
          </w:p>
          <w:p>
            <w:pPr>
              <w:adjustRightInd w:val="0"/>
              <w:spacing w:line="312" w:lineRule="auto"/>
              <w:rPr>
                <w:rFonts w:hint="eastAsia" w:ascii="仿宋" w:hAnsi="仿宋" w:eastAsia="仿宋" w:cs="仿宋"/>
                <w:b/>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tc>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乙方</w:t>
            </w:r>
            <w:r>
              <w:rPr>
                <w:rFonts w:hint="eastAsia" w:ascii="仿宋" w:hAnsi="仿宋" w:eastAsia="仿宋" w:cs="仿宋"/>
                <w:szCs w:val="21"/>
              </w:rPr>
              <w:t>： 华夏银行理财有限责任公司</w:t>
            </w:r>
          </w:p>
          <w:p>
            <w:pPr>
              <w:adjustRightInd w:val="0"/>
              <w:spacing w:line="312" w:lineRule="auto"/>
              <w:rPr>
                <w:rFonts w:hint="eastAsia" w:ascii="仿宋" w:hAnsi="仿宋" w:eastAsia="仿宋" w:cs="仿宋"/>
                <w:szCs w:val="21"/>
              </w:rPr>
            </w:pPr>
            <w:r>
              <w:rPr>
                <w:rFonts w:hint="eastAsia" w:ascii="仿宋" w:hAnsi="仿宋" w:eastAsia="仿宋" w:cs="仿宋"/>
                <w:szCs w:val="21"/>
              </w:rPr>
              <w:t>法定代表人：</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w:t>
            </w:r>
          </w:p>
          <w:p>
            <w:pPr>
              <w:adjustRightInd w:val="0"/>
              <w:spacing w:line="312" w:lineRule="auto"/>
              <w:jc w:val="left"/>
              <w:rPr>
                <w:rFonts w:hint="eastAsia" w:ascii="仿宋" w:hAnsi="仿宋" w:eastAsia="仿宋" w:cs="仿宋"/>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p>
            <w:pPr>
              <w:adjustRightInd w:val="0"/>
              <w:spacing w:line="312" w:lineRule="auto"/>
              <w:rPr>
                <w:rFonts w:hint="eastAsia" w:ascii="仿宋" w:hAnsi="仿宋" w:eastAsia="仿宋" w:cs="仿宋"/>
                <w:b/>
                <w:szCs w:val="21"/>
              </w:rPr>
            </w:pPr>
          </w:p>
        </w:tc>
      </w:tr>
    </w:tbl>
    <w:p>
      <w:pPr>
        <w:pStyle w:val="3f681e16"/>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本协议项下代销机构：</w:t>
      </w:r>
      <w:r>
        <w:rPr>
          <w:rFonts w:hint="eastAsia" w:ascii="微软简仿宋" w:hAnsi="宋体" w:eastAsia="微软简仿宋"/>
          <w:b/>
          <w:szCs w:val="21"/>
          <w:u w:val="single"/>
        </w:rPr>
        <w:t>厦门银行股份有限公司</w:t>
      </w:r>
    </w:p>
    <w:p>
      <w:pPr>
        <w:pStyle w:val="3f681e16"/>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微软简仿宋" w:hAnsi="宋体" w:eastAsia="微软简仿宋"/>
          <w:b/>
          <w:szCs w:val="21"/>
          <w:u w:val="single"/>
        </w:rPr>
        <w:t>姚志平</w:t>
      </w:r>
    </w:p>
    <w:p>
      <w:pPr>
        <w:pStyle w:val="3f681e16"/>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地址：</w:t>
      </w:r>
      <w:r>
        <w:rPr>
          <w:rFonts w:hint="eastAsia" w:ascii="微软简仿宋" w:hAnsi="宋体" w:eastAsia="微软简仿宋"/>
          <w:b/>
          <w:szCs w:val="21"/>
          <w:u w:val="single"/>
        </w:rPr>
        <w:t>厦门市思明区湖滨北路101号商业银行大厦</w:t>
      </w:r>
    </w:p>
    <w:p>
      <w:pPr>
        <w:pStyle w:val="3f681e16"/>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邮编：</w:t>
      </w:r>
      <w:r>
        <w:rPr>
          <w:rFonts w:hint="eastAsia" w:ascii="微软简仿宋" w:hAnsi="宋体" w:eastAsia="微软简仿宋"/>
          <w:b/>
          <w:szCs w:val="21"/>
          <w:u w:val="single"/>
        </w:rPr>
        <w:t>361001</w:t>
      </w:r>
    </w:p>
    <w:p>
      <w:pPr>
        <w:pStyle w:val="3f681e16"/>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公司网址：</w:t>
      </w:r>
      <w:r>
        <w:rPr>
          <w:rFonts w:hint="eastAsia" w:ascii="微软简仿宋" w:hAnsi="宋体" w:eastAsia="微软简仿宋"/>
          <w:b/>
          <w:szCs w:val="21"/>
          <w:u w:val="single"/>
        </w:rPr>
        <w:t>www.xmbankonline.com</w:t>
      </w:r>
    </w:p>
    <w:p>
      <w:pPr>
        <w:pStyle w:val="3f681e16"/>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客服/联系电话：</w:t>
      </w:r>
      <w:r>
        <w:rPr>
          <w:rFonts w:hint="eastAsia" w:ascii="微软简仿宋" w:hAnsi="宋体" w:eastAsia="微软简仿宋"/>
          <w:b/>
          <w:szCs w:val="21"/>
          <w:u w:val="single"/>
        </w:rPr>
        <w:t>400-858-8888</w:t>
      </w:r>
    </w:p>
    <w:p>
      <w:pPr>
        <w:pStyle w:val="3f681e16"/>
        <w:adjustRightInd w:val="0"/>
        <w:snapToGrid w:val="0"/>
        <w:spacing w:line="360" w:lineRule="auto"/>
        <w:ind w:firstLine="420" w:firstLineChars="200"/>
        <w:rPr>
          <w:rFonts w:hint="eastAsia" w:ascii="仿宋" w:hAnsi="仿宋" w:eastAsia="仿宋" w:cs="仿宋"/>
          <w:szCs w:val="21"/>
        </w:rPr>
      </w:pPr>
      <w:bookmarkStart w:id="0" w:name="_GoBack"/>
      <w:bookmarkEnd w:id="0"/>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甲方（即购买理财产品的投资者）本着自主决策、自愿委托、风险自担的原则，购买乙方（华夏理财有限责任公司）发行的理财产品，为明确双方的权利义务，双方经平等协商签订本协议书。</w:t>
      </w:r>
      <w:r>
        <w:rPr>
          <w:rFonts w:hint="eastAsia" w:ascii="仿宋" w:hAnsi="仿宋" w:eastAsia="仿宋" w:cs="仿宋"/>
          <w:b/>
          <w:bCs/>
          <w:color w:val="000000"/>
          <w:szCs w:val="21"/>
        </w:rPr>
        <w:t>本协议书适用于乙方委托理财产品代理销售机构（以下简称“代销机构”）代销的净值型理财产品。</w:t>
      </w:r>
      <w:r>
        <w:rPr>
          <w:rFonts w:hint="eastAsia" w:ascii="仿宋" w:hAnsi="仿宋" w:eastAsia="仿宋" w:cs="仿宋"/>
          <w:color w:val="000000"/>
          <w:szCs w:val="21"/>
        </w:rPr>
        <w:t>本协议中提到的申购、预约申购、赎回、预约赎回仅适用于开放式净值型理财产品，具体产品性质以理财产品说明书为准。</w:t>
      </w:r>
    </w:p>
    <w:p>
      <w:pPr>
        <w:pStyle w:val="3f681e16"/>
        <w:adjustRightInd w:val="0"/>
        <w:snapToGrid w:val="0"/>
        <w:spacing w:line="360" w:lineRule="auto"/>
        <w:ind w:firstLine="422" w:firstLineChars="200"/>
        <w:rPr>
          <w:rFonts w:hint="eastAsia" w:ascii="仿宋" w:hAnsi="仿宋" w:eastAsia="仿宋" w:cs="仿宋"/>
          <w:b/>
          <w:bCs/>
          <w:color w:val="000000"/>
          <w:szCs w:val="21"/>
        </w:rPr>
      </w:pPr>
    </w:p>
    <w:p>
      <w:pPr>
        <w:pStyle w:val="3f681e16"/>
        <w:keepNext/>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甲方声明：</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甲方声明以本人/本机构合法持有的自有资金或合法募集资金购买乙方发行的理财产品，不存在使用贷款、发行债券等募集的非自有资金投资理财产品的情形（合法募集资金除外）。甲方承诺投资理财产品使用的资金来源合法合规，并且系为合法之目的投资本理财产品，而非为洗钱等违法犯罪之目的，甲方将配合乙方、代销机构开展投资者身份识别及尽职调查等反洗钱活动，及时、真实、准确、完整提供本人/本机构身份及资金来源等信息。</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甲方声明所提供的所有资料真实、完整、合法、有效</w:t>
      </w:r>
      <w:r>
        <w:rPr>
          <w:rFonts w:hint="eastAsia" w:ascii="仿宋" w:hAnsi="仿宋" w:eastAsia="仿宋" w:cs="仿宋"/>
          <w:b/>
          <w:bCs/>
          <w:color w:val="000000"/>
          <w:szCs w:val="21"/>
          <w:lang w:eastAsia="zh-CN"/>
        </w:rPr>
        <w:t>。</w:t>
      </w:r>
      <w:r>
        <w:rPr>
          <w:rFonts w:hint="eastAsia" w:ascii="仿宋" w:hAnsi="仿宋" w:eastAsia="仿宋" w:cs="仿宋"/>
          <w:b/>
          <w:bCs/>
          <w:color w:val="000000"/>
          <w:szCs w:val="21"/>
        </w:rPr>
        <w:t>如有变更，甲方应及时联系代销机构</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lang w:val="en-US" w:eastAsia="zh-CN"/>
        </w:rPr>
        <w:t>在15个工作日内</w:t>
      </w:r>
      <w:r>
        <w:rPr>
          <w:rFonts w:hint="eastAsia" w:ascii="仿宋" w:hAnsi="仿宋" w:eastAsia="仿宋" w:cs="仿宋"/>
          <w:b/>
          <w:bCs/>
          <w:color w:val="000000"/>
          <w:szCs w:val="21"/>
        </w:rPr>
        <w:t>办理变更手续</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rPr>
        <w:t>代销机构另有约定的，以代销机构约定为准</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Cs w:val="21"/>
        </w:rPr>
        <w:t>。若甲方未及时办理相关变更手续，由此导致的一切后果由甲方承担，乙方对此不承担任何责任。</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甲方声明已阅知投资者权益须知，接受并签署本协议书、产品说明书、风险揭示书、投资协议书。甲方的投资决策完全是甲方独立、自主、谨慎做出的。甲方已充分了解本协议书相关内容，特别是甲方认购/预约认购/申购/预约申购/赎回/预约赎回条款、免责条款等的内容和含义。甲方已完全知晓并充分理解甲乙双方的权利、义务、责任和投资理财产品的风险，甲方自愿接受本协议书内容，自愿并能承担相关风险。</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4.甲方声明当甲方通过代销机构的网上银行、手机银行、APP等电子销售渠道购买理财产品时，甲方认可其在代销机构电子渠道点击确认同意的理财产品销售文件的合法有效性，认可电子签约与纸质签署具有同等效力。</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5.甲方声明同意代销机构记录（记录方式包括但不限于录音、录像、录屏等）甲方操作行为（包括但不限于购买、赎回、撤单、修改分红方式等业务），并确认以上记录在双方发生争议时可作为合法有效的证据使用。</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6.甲方（如为机构投资者）声明已按公司章程等有关规定和程序取得办理理财业务所需的充分授权，并保证该等授权合法并持续有效。</w:t>
      </w:r>
    </w:p>
    <w:p>
      <w:pPr>
        <w:pStyle w:val="3f681e16"/>
        <w:adjustRightInd w:val="0"/>
        <w:snapToGrid w:val="0"/>
        <w:spacing w:line="360" w:lineRule="auto"/>
        <w:ind w:firstLine="422" w:firstLineChars="200"/>
        <w:rPr>
          <w:rFonts w:hint="eastAsia" w:ascii="仿宋" w:hAnsi="仿宋" w:eastAsia="仿宋" w:cs="仿宋"/>
          <w:b/>
          <w:bCs/>
          <w:color w:val="000000"/>
          <w:szCs w:val="21"/>
        </w:rPr>
      </w:pP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一、名词释义</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2.公募理财产品：根据募集方式不同，将理财产品分为公募理财产品和私募理财产品。公募理财产品指面向不特定社会公众公开发行的理财产品。</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3.私募理财产品：根据募集方式不同，将理财产品分为公募理财产品和私募理财产品。私募理财产品指面向合格投资者非公开发行的理财产品。</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4.合格投资者：指具备相应风险识别能力和风险承受能力，投资于单只理财产品不低于一定金额且符合下列条件的自然人、法人或者依法成立的其他组织：</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3f681e16"/>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3f681e16"/>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3f681e16"/>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代销机构：指接受乙方委托销售其发行理财产品的代理销售机构，包括其他理财公司，商业银行、农村合作银行、村镇银行、农村信用合作社等吸收公众存款的银行业金融机构，以及银保监会规定的其他机构。代销机构信息将通过乙方、代销机构的官方渠道予以公告 。</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7.理财产品宣传推介材料：指理财产品代销机构为宣传推介理财产品向投资者分发或者发布，使投资者可以获得的文字、图片、音频、视频以及其他形式的信息。</w:t>
      </w:r>
    </w:p>
    <w:p>
      <w:pPr>
        <w:pStyle w:val="3f681e16"/>
        <w:widowControl/>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理财产品销售文件：包括销售（代理销售）协议书（即本协议）、理财产品投资协议书、理财产品说明书、风险揭示书、投资者权益须知以及后续对上述文件的有效修订及补充；代销机构提供的经投资者确认的交易</w:t>
      </w:r>
      <w:r>
        <w:rPr>
          <w:rFonts w:hint="eastAsia" w:ascii="仿宋" w:hAnsi="仿宋" w:eastAsia="仿宋" w:cs="仿宋"/>
          <w:color w:val="000000"/>
          <w:szCs w:val="21"/>
          <w:lang w:bidi="ar"/>
        </w:rPr>
        <w:t>申请单（如有）及回单（如有）为理财产品销售文件的有效构成</w:t>
      </w:r>
      <w:r>
        <w:rPr>
          <w:rFonts w:hint="eastAsia" w:ascii="仿宋" w:hAnsi="仿宋" w:eastAsia="仿宋" w:cs="仿宋"/>
          <w:color w:val="000000"/>
          <w:szCs w:val="21"/>
        </w:rPr>
        <w:t>。</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9.本协议：指《华夏理财有限责任公司理财产品销售协议书》以及其后续有效的修订与补充。</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10.理财产品说明书或产品说明书：指乙方公布的、旨在说明理财产品具体要素的产品说明及其更新。</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11</w:t>
      </w:r>
      <w:r>
        <w:rPr>
          <w:rFonts w:hint="eastAsia" w:ascii="仿宋" w:hAnsi="仿宋" w:eastAsia="仿宋" w:cs="仿宋"/>
          <w:color w:val="000000"/>
          <w:szCs w:val="21"/>
        </w:rPr>
        <w:t>.约定信息披露途径：指理财产品说明书、销售协议书、代理销售协议书（如有）、投资者权益须知中约定的理财产品信息披露渠道。</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12.法律法规、监管规定：包括现行有效的法律、行政法规、部门规章和相关监管部门颁布的具有约束效力的规范性文件。</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产品开放日：指投资者可以办理理财产品申购、赎回等交易业务的日期。具体开放日、交易时间以理财产品说明书、销售协议书、代理销售协议书（如有）约定为准。封闭式理财产品不设开放日。</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14.认购：指投资者在发行/募集期内购买理财产品。</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15.申购：指投资者在理财产品成立后的开放日购买理财产品。</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16.赎回：指投资者主动部分或全部退出所持有理财产品。</w:t>
      </w:r>
    </w:p>
    <w:p>
      <w:pPr>
        <w:pStyle w:val="3f681e16"/>
        <w:numPr>
          <w:ins w:id="0"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17.预约认购：</w:t>
      </w:r>
      <w:r>
        <w:rPr>
          <w:rFonts w:hint="eastAsia" w:ascii="仿宋" w:hAnsi="仿宋" w:eastAsia="仿宋" w:cs="仿宋"/>
          <w:szCs w:val="21"/>
        </w:rPr>
        <w:t>指理财产品发行起始日至发行终止日前，提前申请在产品发行终止日当天认购理财产品。</w:t>
      </w:r>
      <w:r>
        <w:rPr>
          <w:rFonts w:hint="eastAsia" w:ascii="仿宋" w:hAnsi="仿宋" w:eastAsia="仿宋" w:cs="仿宋"/>
          <w:color w:val="000000"/>
          <w:szCs w:val="21"/>
        </w:rPr>
        <w:t>预约认购申请视同在发行终止日当天的认购申请。</w:t>
      </w:r>
      <w:r>
        <w:rPr>
          <w:rFonts w:hint="eastAsia" w:ascii="仿宋" w:hAnsi="仿宋" w:eastAsia="仿宋" w:cs="仿宋"/>
          <w:b/>
          <w:bCs/>
          <w:color w:val="000000"/>
          <w:szCs w:val="21"/>
        </w:rPr>
        <w:t>代销机构另有约定的，以代销机构约定为准。</w:t>
      </w:r>
    </w:p>
    <w:p>
      <w:pPr>
        <w:pStyle w:val="3f681e16"/>
        <w:numPr>
          <w:ins w:id="1"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18.预约申购/预约赎回：指理财产品封闭期最后一个工作日约定时点（具体约定详见产品说明书）前，</w:t>
      </w:r>
      <w:r>
        <w:rPr>
          <w:rFonts w:hint="eastAsia" w:ascii="仿宋" w:hAnsi="仿宋" w:eastAsia="仿宋" w:cs="仿宋"/>
          <w:bCs/>
          <w:szCs w:val="21"/>
        </w:rPr>
        <w:t>提前申请在下一开放日开放时间内申购/赎回理财产品。</w:t>
      </w:r>
      <w:r>
        <w:rPr>
          <w:rFonts w:hint="eastAsia" w:ascii="仿宋" w:hAnsi="仿宋" w:eastAsia="仿宋" w:cs="仿宋"/>
          <w:color w:val="000000"/>
          <w:szCs w:val="21"/>
        </w:rPr>
        <w:t>预约申购及预约赎回申请，视同在下一开放日开放时间内的申购/赎回申请。</w:t>
      </w:r>
      <w:r>
        <w:rPr>
          <w:rFonts w:hint="eastAsia" w:ascii="仿宋" w:hAnsi="仿宋" w:eastAsia="仿宋" w:cs="仿宋"/>
          <w:b/>
          <w:bCs/>
          <w:color w:val="000000"/>
          <w:szCs w:val="21"/>
        </w:rPr>
        <w:t>代销机构另有约定的，以代销机构约定为准。</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强制赎回费等方式，降低理财产品流动性风险，具体以理财产品说明书约定为准。</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20.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二、理财产品销售业务规则</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w:t>
      </w:r>
      <w:r>
        <w:rPr>
          <w:rFonts w:hint="eastAsia" w:ascii="仿宋" w:hAnsi="仿宋" w:eastAsia="仿宋" w:cs="仿宋"/>
          <w:b/>
          <w:color w:val="000000"/>
          <w:szCs w:val="21"/>
        </w:rPr>
        <w:t>（如为机构投资者）</w:t>
      </w:r>
      <w:r>
        <w:rPr>
          <w:rFonts w:hint="eastAsia" w:ascii="仿宋" w:hAnsi="仿宋" w:eastAsia="仿宋" w:cs="仿宋"/>
          <w:b/>
          <w:bCs/>
          <w:color w:val="000000"/>
          <w:szCs w:val="21"/>
        </w:rPr>
        <w:t>法定代表人授权其他人员办理本协议项下相关业务的，应按照乙方、代销机构要求提供授权书、授权代理人身份证件等资料。</w:t>
      </w:r>
    </w:p>
    <w:p>
      <w:pPr>
        <w:pStyle w:val="3f681e16"/>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w:t>
      </w:r>
      <w:r>
        <w:rPr>
          <w:rFonts w:hint="eastAsia" w:ascii="仿宋" w:hAnsi="仿宋" w:eastAsia="仿宋" w:cs="仿宋"/>
          <w:b/>
          <w:bCs/>
          <w:color w:val="000000"/>
          <w:szCs w:val="21"/>
        </w:rPr>
        <w:t>一</w:t>
      </w:r>
      <w:r>
        <w:rPr>
          <w:rFonts w:hint="eastAsia" w:ascii="仿宋" w:hAnsi="仿宋" w:eastAsia="仿宋" w:cs="仿宋"/>
          <w:b/>
          <w:color w:val="000000"/>
          <w:szCs w:val="21"/>
        </w:rPr>
        <w:t>）</w:t>
      </w:r>
      <w:r>
        <w:rPr>
          <w:rFonts w:hint="eastAsia" w:ascii="仿宋" w:hAnsi="仿宋" w:eastAsia="仿宋" w:cs="仿宋"/>
          <w:b/>
          <w:bCs/>
          <w:color w:val="000000"/>
          <w:szCs w:val="21"/>
        </w:rPr>
        <w:t>理财业务签约</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1.甲方已在代销机构开立账户并进行理财业务签约（以下简称“签约账户”），指定签约账户用于认购/预约认购/申购/预约申购/赎回/预约赎回本协议书项下的理财产品。</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color w:val="000000"/>
          <w:szCs w:val="21"/>
          <w:lang w:val="en-US" w:eastAsia="zh-CN"/>
        </w:rPr>
        <w:t>非机构投资者的联系方式、通讯地址等信息以甲方在代销机构开立签约账户时预留的信息为准。</w:t>
      </w:r>
      <w:r>
        <w:rPr>
          <w:rFonts w:hint="eastAsia" w:ascii="仿宋" w:hAnsi="仿宋" w:eastAsia="仿宋" w:cs="仿宋"/>
          <w:color w:val="000000"/>
          <w:szCs w:val="21"/>
        </w:rPr>
        <w:t>甲方确认在签约时提供的证件资料、联系方式等信息真实且有效。乙方和代销机构在法律、法规、监管规定、有权机关规定的期限内留存甲方信息。</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3.甲方变更证件资料、联系方式、签约账户、交易渠道等本协议项下的相关内容须及时按代销机构要求办理变更手续。对于甲方变更上述信息但未及时办理相关手续造成的损失，乙方和代销机构不承担责任。</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w:t>
      </w:r>
      <w:r>
        <w:rPr>
          <w:rFonts w:hint="eastAsia" w:ascii="仿宋" w:hAnsi="仿宋" w:eastAsia="仿宋" w:cs="仿宋"/>
          <w:b/>
          <w:color w:val="000000"/>
          <w:szCs w:val="21"/>
        </w:rPr>
        <w:t>.</w:t>
      </w:r>
      <w:r>
        <w:rPr>
          <w:rFonts w:hint="eastAsia" w:ascii="仿宋" w:hAnsi="仿宋" w:eastAsia="仿宋" w:cs="仿宋"/>
          <w:b/>
          <w:bCs/>
          <w:color w:val="000000"/>
          <w:szCs w:val="21"/>
        </w:rPr>
        <w:t>甲方在理财产品全部赎回或兑付前，不得办理签约账户销户。</w:t>
      </w:r>
    </w:p>
    <w:p>
      <w:pPr>
        <w:pStyle w:val="3f681e16"/>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（二）认购/申购/预约认购/预约申购/赎回/预约赎回</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bCs/>
          <w:color w:val="000000"/>
          <w:szCs w:val="21"/>
        </w:rPr>
        <w:t>1.</w:t>
      </w:r>
      <w:r>
        <w:rPr>
          <w:rFonts w:hint="eastAsia" w:ascii="仿宋" w:hAnsi="仿宋" w:eastAsia="仿宋" w:cs="仿宋"/>
          <w:b/>
          <w:color w:val="000000"/>
          <w:szCs w:val="21"/>
        </w:rPr>
        <w:t>甲方应根据自身风险承受能力审慎购买理财产品。甲方同意在理财产品认购/申购/预约认购/预约申购时代销机构依约定从签约账户中预扣或冻结约定的申请金额用于购买理财产品。扣划或冻结期间，是否计付利息以代销机构业务规则为准，与乙方无关。</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甲方同意在认购/申购/预约认购/预约申购交易后，代销机构依据约定划款时间予以划款，不再与甲方确认。甲方认购/申购风险较高或单笔金额较大的理财产品时，亦适用此项约定。</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3.产品兑付时，乙方委托代销机构根据理财产品说明书的约定将理财本金及理财收益（如有）划入甲方签约账户。</w:t>
      </w:r>
    </w:p>
    <w:p>
      <w:pPr>
        <w:pStyle w:val="3f681e16"/>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bCs/>
          <w:color w:val="000000"/>
          <w:szCs w:val="21"/>
        </w:rPr>
        <w:t>4</w:t>
      </w:r>
      <w:r>
        <w:rPr>
          <w:rFonts w:hint="eastAsia" w:ascii="仿宋" w:hAnsi="仿宋" w:eastAsia="仿宋" w:cs="仿宋"/>
          <w:color w:val="000000"/>
          <w:szCs w:val="21"/>
        </w:rPr>
        <w:t>.</w:t>
      </w:r>
      <w:r>
        <w:rPr>
          <w:rFonts w:hint="eastAsia" w:ascii="仿宋" w:hAnsi="仿宋" w:eastAsia="仿宋" w:cs="仿宋"/>
          <w:bCs/>
          <w:color w:val="000000"/>
          <w:szCs w:val="21"/>
        </w:rPr>
        <w:t>乙</w:t>
      </w:r>
      <w:r>
        <w:rPr>
          <w:rFonts w:hint="eastAsia" w:ascii="仿宋" w:hAnsi="仿宋" w:eastAsia="仿宋" w:cs="仿宋"/>
          <w:color w:val="000000"/>
          <w:szCs w:val="21"/>
        </w:rPr>
        <w:t>方允许甲方在发行/募集期内撤销认购/预约认购，</w:t>
      </w:r>
      <w:r>
        <w:rPr>
          <w:rFonts w:hint="eastAsia" w:ascii="仿宋" w:hAnsi="仿宋" w:eastAsia="仿宋" w:cs="仿宋"/>
          <w:szCs w:val="21"/>
        </w:rPr>
        <w:t>甲方退回的理财本金具体到账时间以代销机构规定为准。</w:t>
      </w:r>
    </w:p>
    <w:p>
      <w:pPr>
        <w:pStyle w:val="3f681e16"/>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color w:val="000000"/>
          <w:szCs w:val="21"/>
        </w:rPr>
        <w:t>.</w:t>
      </w:r>
      <w:r>
        <w:rPr>
          <w:rFonts w:hint="eastAsia" w:ascii="仿宋" w:hAnsi="仿宋" w:eastAsia="仿宋" w:cs="仿宋"/>
          <w:szCs w:val="21"/>
        </w:rPr>
        <w:t>预约认购申请，视同在发行终止日当天的认购申请，具体办理规则以代销机构约定为准。</w:t>
      </w:r>
    </w:p>
    <w:p>
      <w:pPr>
        <w:pStyle w:val="3f681e16"/>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color w:val="000000"/>
          <w:szCs w:val="21"/>
        </w:rPr>
        <w:t>.</w:t>
      </w:r>
      <w:r>
        <w:rPr>
          <w:rFonts w:hint="eastAsia" w:ascii="仿宋" w:hAnsi="仿宋" w:eastAsia="仿宋" w:cs="仿宋"/>
          <w:szCs w:val="21"/>
        </w:rPr>
        <w:t>预约申购申请，视同在下一开放日开放时间内的申购申请，具体办理规则以代销机构约定为准。</w:t>
      </w:r>
    </w:p>
    <w:p>
      <w:pPr>
        <w:pStyle w:val="3f681e16"/>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color w:val="000000"/>
          <w:szCs w:val="21"/>
        </w:rPr>
        <w:t>.</w:t>
      </w:r>
      <w:r>
        <w:rPr>
          <w:rFonts w:hint="eastAsia" w:ascii="仿宋" w:hAnsi="仿宋" w:eastAsia="仿宋" w:cs="仿宋"/>
          <w:szCs w:val="21"/>
        </w:rPr>
        <w:t>产品开放期间，投资者可撤销已提交的申购/赎回申请，具体规定如下：</w:t>
      </w:r>
    </w:p>
    <w:p>
      <w:pPr>
        <w:pStyle w:val="3f681e16"/>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（1）只能全额撤销；</w:t>
      </w:r>
    </w:p>
    <w:p>
      <w:pPr>
        <w:pStyle w:val="3f681e16"/>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（2）开放日开放时间之后不能撤销。</w:t>
      </w:r>
    </w:p>
    <w:p>
      <w:pPr>
        <w:pStyle w:val="3f681e16"/>
        <w:tabs>
          <w:tab w:val="left" w:pos="312"/>
        </w:tabs>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代销机构如有约定的，以代销机构约定为准。</w:t>
      </w:r>
    </w:p>
    <w:p>
      <w:pPr>
        <w:pStyle w:val="3f681e16"/>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szCs w:val="21"/>
        </w:rPr>
        <w:t>8</w:t>
      </w:r>
      <w:r>
        <w:rPr>
          <w:rFonts w:hint="eastAsia" w:ascii="仿宋" w:hAnsi="仿宋" w:eastAsia="仿宋" w:cs="仿宋"/>
          <w:b/>
          <w:bCs/>
          <w:color w:val="000000"/>
          <w:szCs w:val="21"/>
        </w:rPr>
        <w:t>.甲方通过代销机构提交的理财产品申购/赎回的撤单申请，按产品说明书约定经乙方或代销机构确认后方可生效。</w:t>
      </w:r>
    </w:p>
    <w:p>
      <w:pPr>
        <w:pStyle w:val="3f681e16"/>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9</w:t>
      </w:r>
      <w:r>
        <w:rPr>
          <w:rFonts w:hint="eastAsia" w:ascii="仿宋" w:hAnsi="仿宋" w:eastAsia="仿宋" w:cs="仿宋"/>
          <w:color w:val="000000"/>
          <w:szCs w:val="21"/>
        </w:rPr>
        <w:t>.</w:t>
      </w:r>
      <w:r>
        <w:rPr>
          <w:rFonts w:hint="eastAsia" w:ascii="仿宋" w:hAnsi="仿宋" w:eastAsia="仿宋" w:cs="仿宋"/>
          <w:szCs w:val="21"/>
        </w:rPr>
        <w:t>封闭期的最后一个工作日</w:t>
      </w:r>
      <w:r>
        <w:rPr>
          <w:rFonts w:hint="eastAsia" w:ascii="仿宋" w:hAnsi="仿宋" w:eastAsia="仿宋" w:cs="仿宋"/>
          <w:color w:val="000000"/>
          <w:szCs w:val="21"/>
        </w:rPr>
        <w:t>约定时点（具体时点以产品说明书及代销机构约定为准）</w:t>
      </w:r>
      <w:r>
        <w:rPr>
          <w:rFonts w:hint="eastAsia" w:ascii="仿宋" w:hAnsi="仿宋" w:eastAsia="仿宋" w:cs="仿宋"/>
          <w:szCs w:val="21"/>
        </w:rPr>
        <w:t>前，投资者仅可对已提交的预约申购、预约赎回申请进行全额撤销。</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11.在产品存续期内，除非出现按照产品说明书约定终止理财产品的情形，否则不得要求乙方在产品非开放日前退还已扣款项或以任何形式清算其持有的理财产品份额。</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12．本协议中涉及的日期如遇产品说明书约定的非工作日，则自动顺延至下一个工作日。</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三、客户信息保密及使用</w:t>
      </w:r>
    </w:p>
    <w:p>
      <w:pPr>
        <w:pStyle w:val="3f681e16"/>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乙方、代销机构应就理财产品销售过程中获知的甲方信息承担保密义务。非经甲方事先许可，不得向第三方披露，但法律法规或监管规定另有要求的除外。</w:t>
      </w:r>
      <w:r>
        <w:rPr>
          <w:rFonts w:hint="eastAsia" w:ascii="仿宋" w:hAnsi="仿宋" w:eastAsia="仿宋" w:cs="仿宋"/>
          <w:b/>
          <w:bCs/>
          <w:color w:val="000000"/>
          <w:szCs w:val="21"/>
        </w:rPr>
        <w:t>甲方在此同意，乙方及代销机构可根据监管要求，为理财产品登记等需要，向登记部门或监管机构提供甲方相关信息。</w:t>
      </w:r>
    </w:p>
    <w:p>
      <w:pPr>
        <w:pStyle w:val="3f681e16"/>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3f681e16"/>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个人信息是以电子或者其他方式记录的，与已识别或者可识别的自然人有关的各种信息，不包括匿名化处理后的信息。甲方同意并自愿授权乙方在提供理财业务服务所必需的情形下，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w:t>
      </w:r>
    </w:p>
    <w:tbl>
      <w:tblPr>
        <w:tblStyle w:val="f84d5ef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个人</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甲方个人信息指本人的个人信息，包括：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机构</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甲方个人信息指经办人、法定代表人、实际控制人、实际受益人的个人信息，包括：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身份信息：姓名、性别、国籍、职业、住址、联系方式、身份证件信息、证件有效期。</w:t>
            </w:r>
          </w:p>
        </w:tc>
      </w:tr>
    </w:tbl>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3f681e16"/>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以上甲方个人信息中身份证件信息、财产信息、账户信息、交易信息属于甲方的敏感个人信息，甲方同意并授权乙方处理其敏感个人信息。甲方不同意乙方处理该信息的，乙方将可能无法提供理财业务服务。</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3f681e16"/>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3f681e16"/>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1.为订立、履行合同所必需的；</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2.产品管理人为履行法定职责或者法定义务所必需；</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3.为应对突发公共卫生事件，或者紧急情况下为保护自然人的生命健康和财产安全所必需；</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4.为公共利益实施新闻报道、舆论监督等行为，在合理的范围内处理个人信息；</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5.在合理的范围内处理个人自行公开或者其他已经合法公开的个人信息；</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6.法律、法规规定的其他情形。</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3f681e16"/>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1.乙方获取的甲方个人信息及理财信息将存储在中华人民共和国境内。</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3.甲方有权通过理财销售机构行使法律所赋予甲方对个人信息的知情权、决定权、查阅权、复制权、更正及补充权、删除权、解释权等，法律、行政法规另有规定的除外。</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3f681e16"/>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四、产品收费</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1.乙方依据理财产品说明书约定的费用项目、收费条件、费率标准、收费方式等要素收取相关费用。</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2.乙方可根据市场情况调整已约定的收费项目、收费条件、费率标准和收费方式，并将在生效前通过约定信息披露途径予以披露。甲方不同意的，可根据公告信息赎回产品。</w:t>
      </w:r>
    </w:p>
    <w:p>
      <w:pPr>
        <w:pStyle w:val="3f681e16"/>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五、免责条款</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因不可抗力、非乙方原因发生的计算机系统故障、网络故障、通讯故障、电力故障等，导致甲方产生损失的，乙方不承担责任。如发生上述情况，乙方将通</w:t>
      </w:r>
      <w:r>
        <w:rPr>
          <w:rFonts w:hint="eastAsia" w:ascii="仿宋" w:hAnsi="仿宋" w:eastAsia="仿宋" w:cs="仿宋"/>
          <w:b/>
          <w:bCs/>
          <w:color w:val="000000"/>
          <w:szCs w:val="21"/>
        </w:rPr>
        <w:t>过约定的信息披露途径及时公告</w:t>
      </w:r>
      <w:r>
        <w:rPr>
          <w:rFonts w:hint="eastAsia" w:ascii="仿宋" w:hAnsi="仿宋" w:eastAsia="仿宋" w:cs="仿宋"/>
          <w:b/>
          <w:color w:val="000000"/>
          <w:szCs w:val="21"/>
        </w:rPr>
        <w:t>。</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由于国家的有关法律、法规、规章、政策的改变、紧急措施的出台而导致甲方承担的风险，乙方不承担责任。</w:t>
      </w:r>
    </w:p>
    <w:p>
      <w:pPr>
        <w:pStyle w:val="3f681e16"/>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由于甲方的原因，理财资金被司法机关等有权部门冻结、扣划，乙方不承担责任。</w:t>
      </w:r>
    </w:p>
    <w:p>
      <w:pPr>
        <w:pStyle w:val="3f681e16"/>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六、协议构成和效力</w:t>
      </w:r>
    </w:p>
    <w:p>
      <w:pPr>
        <w:pStyle w:val="3f681e16"/>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1.除本协议外，甲方购买具体的理财产品时，还应签署产品说明书、投资协议书、风险揭示书和投资者权益须知。本协议与产品说明书、投资协议书、风险揭示书、投资者权益须知、业务回单、交易凭证等有关法律文件共同构成一份完整且不可分割的理财合同。</w:t>
      </w:r>
    </w:p>
    <w:p>
      <w:pPr>
        <w:pStyle w:val="3f681e16"/>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2.有关甲方所购买理财产品的任何介绍、说明、承诺仅以本协议、产品说明书、乙方和代销机构通过约定信息披露途径发布的对应产品信息为准。</w:t>
      </w:r>
    </w:p>
    <w:p>
      <w:pPr>
        <w:pStyle w:val="3f681e16"/>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3.本协议持续有效，不因甲方所购买的单期理财产品被赎回、到期或提前终止而失效。</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七、争议的处理</w:t>
      </w:r>
    </w:p>
    <w:p>
      <w:pPr>
        <w:pStyle w:val="3f681e16"/>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因履行本协议书而引致的一切争议，双方应首先本着诚实信用原则通过协商解决。协商不成的，任何一方均可向</w:t>
      </w:r>
      <w:r>
        <w:rPr>
          <w:rFonts w:hint="eastAsia" w:ascii="仿宋" w:hAnsi="仿宋" w:eastAsia="仿宋" w:cs="仿宋"/>
          <w:b/>
          <w:bCs/>
          <w:color w:val="000000"/>
          <w:szCs w:val="21"/>
        </w:rPr>
        <w:t>被告所在地有管辖权的人民法院</w:t>
      </w:r>
      <w:r>
        <w:rPr>
          <w:rFonts w:hint="eastAsia" w:ascii="仿宋" w:hAnsi="仿宋" w:eastAsia="仿宋" w:cs="仿宋"/>
          <w:color w:val="000000"/>
          <w:szCs w:val="21"/>
        </w:rPr>
        <w:t>提起诉讼。</w:t>
      </w:r>
    </w:p>
    <w:p>
      <w:pPr>
        <w:pStyle w:val="3f681e16"/>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八、协议生效</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网点柜面渠道签署本协议的，经甲方本人签字（如为个人投资者）或法定代表人或授权代表签章并加盖甲方公章（如为机构投资者）后且乙方确认甲方成功认/申购并收到甲方缴付的全部投资本金之日起生效。代销机构另有规定的，以代销机构规定为准。</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电子渠道签署本协议的，自甲方通过代销机构电子渠道确认同意后，且乙方确认甲方成功认/申购并收到甲方缴付的全部投资本金之日起生效。甲方认可线上点击同意具有与书面签署同等的法律效力。</w:t>
      </w:r>
    </w:p>
    <w:p>
      <w:pPr>
        <w:pStyle w:val="3f681e16"/>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3f681e16"/>
        <w:adjustRightInd w:val="0"/>
        <w:snapToGrid w:val="0"/>
        <w:spacing w:line="360" w:lineRule="auto"/>
        <w:rPr>
          <w:rFonts w:hint="eastAsia" w:ascii="仿宋" w:hAnsi="仿宋" w:eastAsia="仿宋" w:cs="仿宋"/>
          <w:color w:val="000000"/>
          <w:szCs w:val="21"/>
        </w:rPr>
      </w:pPr>
    </w:p>
    <w:p>
      <w:pPr>
        <w:pStyle w:val="3f681e16"/>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甲方：                                           乙方：华夏理财有限责任公司</w:t>
      </w:r>
    </w:p>
    <w:p>
      <w:pPr>
        <w:pStyle w:val="3f681e16"/>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投资者自然人（签字或线上确认同意）：</w:t>
      </w:r>
    </w:p>
    <w:p>
      <w:pPr>
        <w:pStyle w:val="3f681e16"/>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 xml:space="preserve">（或）法人或其他组织（盖章或线上确认同意）： </w:t>
      </w:r>
    </w:p>
    <w:p>
      <w:pPr>
        <w:pStyle w:val="3f681e16"/>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法定代表人或授权代表（签章或线上确认同意）：</w:t>
      </w:r>
    </w:p>
    <w:p>
      <w:pPr>
        <w:pStyle w:val="3f681e16"/>
        <w:autoSpaceDE/>
        <w:autoSpaceDN/>
        <w:adjustRightInd w:val="0"/>
        <w:snapToGrid w:val="0"/>
        <w:spacing w:line="360" w:lineRule="auto"/>
        <w:ind w:firstLine="420" w:firstLineChars="200"/>
        <w:jc w:val="right"/>
        <w:rPr>
          <w:rFonts w:hint="eastAsia" w:ascii="仿宋" w:hAnsi="仿宋" w:eastAsia="仿宋" w:cs="仿宋"/>
          <w:szCs w:val="21"/>
        </w:rPr>
      </w:pPr>
      <w:r>
        <w:rPr>
          <w:rFonts w:hint="eastAsia" w:ascii="仿宋" w:hAnsi="仿宋" w:eastAsia="仿宋" w:cs="仿宋"/>
          <w:color w:val="000000"/>
          <w:szCs w:val="21"/>
        </w:rPr>
        <w:t>年   月   日</w:t>
      </w:r>
    </w:p>
    <w:sectPr/>
  </w:body>
</w:document>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
    <w:name w:val="Default Paragraph Font23"/>
    <w:semiHidden/>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1">
    <w:name w:val="Normal Table2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endnote text14"/>
    <w:basedOn w:val="1"/>
    <w:link w:val="181"/>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footer15"/>
    <w:basedOn w:val="1"/>
    <w:link w:val="179"/>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header16"/>
    <w:basedOn w:val="1"/>
    <w:link w:val="178"/>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Subtitle17"/>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footnote text18"/>
    <w:basedOn w:val="1"/>
    <w:link w:val="180"/>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table of figures19"/>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Title20"/>
    <w:basedOn w:val="1"/>
    <w:next w:val="1"/>
    <w:link w:val="165"/>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2">
    <w:name w:val="Table Grid22"/>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4">
    <w:name w:val="Strong24"/>
    <w:basedOn w:val="23"/>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endnote reference25"/>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FollowedHyperlink26"/>
    <w:basedOn w:val="23"/>
    <w:semiHidden/>
    <w:unhideWhenUsed/>
    <w:qFormat/>
    <w:uiPriority w:val="99"/>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mphasis27"/>
    <w:basedOn w:val="23"/>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Hyperlink28"/>
    <w:basedOn w:val="23"/>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annotation reference29"/>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footnote reference30"/>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1">
    <w:name w:val="Table Grid Light3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
    <w:name w:val="Plain Table 132"/>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Plain Table 233"/>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334"/>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Plain Table 435"/>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Plain Table 536"/>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Grid Table 1 Light37"/>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Grid Table 1 Light - Accent 138"/>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 - Accent 239"/>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340"/>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441"/>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1 Light - Accent 542"/>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 - Accent 643"/>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244"/>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2 - Accent 145"/>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 - Accent 246"/>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347"/>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448"/>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2 - Accent 549"/>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 - Accent 650"/>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351"/>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3 - Accent 152"/>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 - Accent 253"/>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354"/>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455"/>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3 - Accent 556"/>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 - Accent 657"/>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458"/>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4 - Accent 159"/>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 - Accent 260"/>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361"/>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462"/>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4 - Accent 563"/>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 - Accent 664"/>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5 Dark6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5 Dark- Accent 16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 - Accent 267"/>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 Accent 368"/>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Accent 469"/>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5 Dark - Accent 570"/>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 - Accent 67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6 Colorful72"/>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6 Colorful - Accent 173"/>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 - Accent 274"/>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375"/>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476"/>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6 Colorful - Accent 577"/>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 - Accent 678"/>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7 Colorful79"/>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7 Colorful - Accent 180"/>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 - Accent 281"/>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382"/>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483"/>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7 Colorful - Accent 584"/>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 - Accent 685"/>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List Table 1 Light86"/>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List Table 1 Light - Accent 187"/>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 - Accent 288"/>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389"/>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490"/>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1 Light - Accent 591"/>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 - Accent 692"/>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293"/>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2 - Accent 194"/>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 - Accent 295"/>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396"/>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497"/>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2 - Accent 598"/>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 - Accent 699"/>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3100"/>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3 - Accent 110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 - Accent 210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310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410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3 - Accent 510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 - Accent 610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4107"/>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4 - Accent 1108"/>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 - Accent 2109"/>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3110"/>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4111"/>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4 - Accent 5112"/>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 - Accent 6113"/>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5 Dark114"/>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5 Dark - Accent 1115"/>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 - Accent 2116"/>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3117"/>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4118"/>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5 Dark - Accent 5119"/>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 - Accent 6120"/>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6 Colorful121"/>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6 Colorful - Accent 1122"/>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 - Accent 2123"/>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3124"/>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4125"/>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6 Colorful - Accent 5126"/>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 - Accent 6127"/>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7 Colorful128"/>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7 Colorful - Accent 1129"/>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 - Accent 2130"/>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3131"/>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4132"/>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7 Colorful - Accent 5133"/>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 - Accent 6134"/>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ned - Accent135"/>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ned - Accent 1136"/>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 2137"/>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3138"/>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4139"/>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ned - Accent 5140"/>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 6141"/>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Bordered &amp; Lined - Accent142"/>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Bordered &amp; Lined - Accent 1143"/>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 2144"/>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3145"/>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4146"/>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 &amp; Lined - Accent 5147"/>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 6148"/>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149"/>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 Accent 1150"/>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 - Accent 2151"/>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3152"/>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4153"/>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 Accent 5154"/>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 - Accent 6155"/>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6">
    <w:name w:val="Heading 1 Char156"/>
    <w:basedOn w:val="23"/>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7">
    <w:name w:val="Heading 2 Char157"/>
    <w:basedOn w:val="23"/>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3 Char158"/>
    <w:basedOn w:val="23"/>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4 Char159"/>
    <w:basedOn w:val="23"/>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5 Char160"/>
    <w:basedOn w:val="23"/>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6 Char161"/>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7 Char162"/>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8 Char163"/>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9 Char164"/>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Title Char165"/>
    <w:basedOn w:val="23"/>
    <w:link w:val="20"/>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Subtitle Char166"/>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7">
    <w:name w:val="Quote167"/>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Quote Char168"/>
    <w:basedOn w:val="23"/>
    <w:link w:val="167"/>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List Paragraph169"/>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Intense Emphasis170"/>
    <w:basedOn w:val="23"/>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1">
    <w:name w:val="Intense Quote171"/>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Intense Quote Char172"/>
    <w:basedOn w:val="23"/>
    <w:link w:val="171"/>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3">
    <w:name w:val="Intense Reference173"/>
    <w:basedOn w:val="23"/>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4">
    <w:name w:val="No Spacing174"/>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Subtle Emphasis175"/>
    <w:basedOn w:val="23"/>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6">
    <w:name w:val="Subtle Reference176"/>
    <w:basedOn w:val="23"/>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Book Title177"/>
    <w:basedOn w:val="23"/>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Header Char178"/>
    <w:basedOn w:val="23"/>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Footer Char179"/>
    <w:basedOn w:val="23"/>
    <w:link w:val="1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0">
    <w:name w:val="Footnote Text Char180"/>
    <w:basedOn w:val="23"/>
    <w:link w:val="18"/>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Endnote Text Char181"/>
    <w:basedOn w:val="23"/>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2">
    <w:name w:val="TOC Heading182"/>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3">
    <w:name w:val="Default183"/>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6a60f93">
    <w:name w:val="Normal76a60f93"/>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fb52b13">
    <w:name w:val="heading 27fb52b13"/>
    <w:basedOn w:val="76a60f93"/>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572686b">
    <w:name w:val="Default Paragraph Font3572686b"/>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a449d4be">
    <w:name w:val="Normal Tablea449d4be"/>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f75bc7a">
    <w:name w:val="annotation textcf75bc7a"/>
    <w:basedOn w:val="76a60f93"/>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10bdf8a">
    <w:name w:val="Body Text Indent310bdf8a"/>
    <w:basedOn w:val="76a60f93"/>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38117b6">
    <w:name w:val="Balloon Texta38117b6"/>
    <w:basedOn w:val="76a60f93"/>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dcb91b3">
    <w:name w:val="footer2dcb91b3"/>
    <w:basedOn w:val="76a60f93"/>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f73624b">
    <w:name w:val="headerff73624b"/>
    <w:basedOn w:val="76a60f93"/>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e0b5e44">
    <w:name w:val="annotation subjectbe0b5e44"/>
    <w:basedOn w:val="cf75bc7a"/>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337f250e">
    <w:name w:val="Table Grid337f250e"/>
    <w:basedOn w:val="a449d4be"/>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ec6b356">
    <w:name w:val="Char Char Char Char Char Char Char Char Char Char Char Charaec6b356"/>
    <w:basedOn w:val="76a60f93"/>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b1ed489">
    <w:name w:val="Strongfb1ed489"/>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0f1c014">
    <w:name w:val="page number80f1c014"/>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5ef8fce">
    <w:name w:val="Hyperlink15ef8fce"/>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f4912af">
    <w:name w:val="annotation reference3f4912af"/>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f231088">
    <w:name w:val="标题 2 字符af231088"/>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5284e81">
    <w:name w:val="批注文字 字符f5284e81"/>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cc64c63">
    <w:name w:val="批注框文本 字符5cc64c63"/>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1161eed">
    <w:name w:val="页脚 字符a1161eed"/>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e56824d">
    <w:name w:val="页眉 字符1e56824d"/>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0bf3ef4">
    <w:name w:val="Default80bf3ef4"/>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a282cb0">
    <w:name w:val="ecxmsonormalaa282cb0"/>
    <w:basedOn w:val="76a60f93"/>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4d35522d">
    <w:name w:val="_Style 224d35522d"/>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950c82">
    <w:name w:val="Normal10950c82"/>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8cd3737">
    <w:name w:val="heading 268cd3737"/>
    <w:basedOn w:val="10950c82"/>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5e557201">
    <w:name w:val="Default Paragraph Font5e557201"/>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eaf6cafc">
    <w:name w:val="Normal Tableeaf6cafc"/>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bd7ba3a">
    <w:name w:val="annotation text2bd7ba3a"/>
    <w:basedOn w:val="10950c82"/>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155567e">
    <w:name w:val="Body Text Indent4155567e"/>
    <w:basedOn w:val="10950c82"/>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dfdec25">
    <w:name w:val="Balloon Text1dfdec25"/>
    <w:basedOn w:val="10950c82"/>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bbbe747">
    <w:name w:val="footer6bbbe747"/>
    <w:basedOn w:val="10950c82"/>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f7b3fcd">
    <w:name w:val="headercf7b3fcd"/>
    <w:basedOn w:val="10950c82"/>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1842c3">
    <w:name w:val="annotation subject111842c3"/>
    <w:basedOn w:val="2bd7ba3a"/>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af2ab0bb">
    <w:name w:val="Table Gridaf2ab0bb"/>
    <w:basedOn w:val="eaf6cafc"/>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f0605446">
    <w:name w:val="Char Char Char Char Char Char Char Char Char Char Char Charf0605446"/>
    <w:basedOn w:val="10950c82"/>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3eac3ae">
    <w:name w:val="page number83eac3ae"/>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b5b7dc5">
    <w:name w:val="Hyperlink2b5b7dc5"/>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b7d7bc8">
    <w:name w:val="annotation reference9b7d7bc8"/>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ea4603b">
    <w:name w:val="标题 2 字符7ea4603b"/>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e97f402">
    <w:name w:val="批注文字 字符0e97f402"/>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f23ad5e">
    <w:name w:val="批注框文本 字符0f23ad5e"/>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dac47bd">
    <w:name w:val="页脚 字符fdac47bd"/>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bf0069d">
    <w:name w:val="页眉 字符2bf0069d"/>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67886d0f">
    <w:name w:val="Default67886d0f"/>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41a9464">
    <w:name w:val="_Style 21041a9464"/>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5614b037">
    <w:name w:val="ecxmsonormal5614b037"/>
    <w:basedOn w:val="10950c82"/>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bbbd434">
    <w:name w:val="Normalebbbd434"/>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7ca1637">
    <w:name w:val="heading 1c7ca1637"/>
    <w:basedOn w:val="ebbbd434"/>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e6a5017">
    <w:name w:val="heading 2ce6a5017"/>
    <w:basedOn w:val="ebbbd434"/>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d5a8d6c">
    <w:name w:val="heading 3ed5a8d6c"/>
    <w:basedOn w:val="ebbbd434"/>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65b82d5">
    <w:name w:val="Default Paragraph Font765b82d5"/>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033c24fb">
    <w:name w:val="Normal Table033c24fb"/>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65e4f1e">
    <w:name w:val="annotation text465e4f1e"/>
    <w:basedOn w:val="ebbbd434"/>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53d83c6">
    <w:name w:val="Balloon Texta53d83c6"/>
    <w:basedOn w:val="ebbbd434"/>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4152c2c">
    <w:name w:val="footer74152c2c"/>
    <w:basedOn w:val="ebbbd434"/>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568f20f">
    <w:name w:val="header8568f20f"/>
    <w:basedOn w:val="ebbbd434"/>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a514d3d">
    <w:name w:val="Normal (Web)ea514d3d"/>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ce7d877">
    <w:name w:val="annotation subject6ce7d877"/>
    <w:basedOn w:val="465e4f1e"/>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8261bba">
    <w:name w:val="annotation reference38261bba"/>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620fb16">
    <w:name w:val="标题 1 字符9620fb16"/>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f9de436">
    <w:name w:val="标题 2 字符cf9de436"/>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be397fe">
    <w:name w:val="标题 3 字符9be397fe"/>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e93ea07">
    <w:name w:val="批注文字 字符0e93ea07"/>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e124cac">
    <w:name w:val="批注框文本 字符8e124cac"/>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f13960d">
    <w:name w:val="页脚 字符bf13960d"/>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54aab71">
    <w:name w:val="页眉 字符a54aab71"/>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b1957dd">
    <w:name w:val="批注主题 字符0b1957dd"/>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126f12c">
    <w:name w:val="Char Char Char Char Char Char Char Char Char Char Char Charc126f12c"/>
    <w:basedOn w:val="ebbbd434"/>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f681e16">
    <w:name w:val="Normal3f681e16"/>
    <w:qFormat/>
    <w:uiPriority w:val="0"/>
    <w:pPr>
      <w:widowControl w:val="0"/>
      <w:spacing w:line="560" w:lineRule="exact"/>
      <w:jc w:val="both"/>
    </w:pPr>
    <w:rPr>
      <w:kern w:val="2"/>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a7e1777">
    <w:name w:val="Default Paragraph Font7a7e1777"/>
    <w:link w:val="11"/>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f84d5ef5">
    <w:name w:val="Normal Tablef84d5ef5"/>
    <w:semiHidden/>
    <w:qFormat/>
    <w:uiPriority w:val="0"/>
    <w:tblPr>
      <w:tblStyle w:val="8"/>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a66b497">
    <w:name w:val="annotation text2a66b497"/>
    <w:basedOn w:val="3f681e16"/>
    <w:link w:val="14"/>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2eb57e">
    <w:name w:val="Body Text Indent202eb57e"/>
    <w:basedOn w:val="3f681e16"/>
    <w:unhideWhenUsed/>
    <w:qFormat/>
    <w:uiPriority w:val="0"/>
    <w:pPr>
      <w:ind w:firstLine="630"/>
    </w:pPr>
    <w:rPr>
      <w:kern w:val="0"/>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e2b5c1">
    <w:name w:val="Balloon Text14e2b5c1"/>
    <w:basedOn w:val="3f681e16"/>
    <w:semiHidden/>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e94d2bd">
    <w:name w:val="footer5e94d2bd"/>
    <w:basedOn w:val="3f681e16"/>
    <w:qFormat/>
    <w:uiPriority w:val="0"/>
    <w:pPr>
      <w:tabs>
        <w:tab w:val="center" w:pos="4153"/>
        <w:tab w:val="right" w:pos="8306"/>
      </w:tabs>
      <w:snapToGrid w:val="0"/>
      <w:spacing w:line="240" w:lineRule="atLeast"/>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b0bdc9f">
    <w:name w:val="header0b0bdc9f"/>
    <w:basedOn w:val="3f681e16"/>
    <w:link w:val="15"/>
    <w:unhideWhenUsed/>
    <w:qFormat/>
    <w:uiPriority w:val="99"/>
    <w:pPr>
      <w:pBdr>
        <w:bottom w:val="single" w:color="auto" w:sz="6" w:space="1"/>
      </w:pBdr>
      <w:tabs>
        <w:tab w:val="center" w:pos="4153"/>
        <w:tab w:val="right" w:pos="8306"/>
      </w:tabs>
      <w:snapToGrid w:val="0"/>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9a7910f">
    <w:name w:val="annotation subject99a7910f"/>
    <w:basedOn w:val="2a66b497"/>
    <w:next w:val="2"/>
    <w:link w:val="16"/>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5d9d7af6">
    <w:name w:val="Table Grid5d9d7af6"/>
    <w:basedOn w:val="f84d5ef5"/>
    <w:qFormat/>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ebc88e5d">
    <w:name w:val="Char Char Char Char Char Char Char Char Char Char Char Charebc88e5d"/>
    <w:basedOn w:val="3f681e16"/>
    <w:link w:val="10"/>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155c692">
    <w:name w:val="Hyperlink3155c692"/>
    <w:unhideWhenUsed/>
    <w:qFormat/>
    <w:uiPriority w:val="99"/>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024238f">
    <w:name w:val="annotation referencee024238f"/>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01f43ed">
    <w:name w:val="批注文字 字符501f43ed"/>
    <w:link w:val="2"/>
    <w:qFormat/>
    <w:uiPriority w:val="0"/>
    <w:rPr>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f79e1fe">
    <w:name w:val="页眉 字符cf79e1fe"/>
    <w:link w:val="6"/>
    <w:qFormat/>
    <w:uiPriority w:val="99"/>
    <w:rPr>
      <w:kern w:val="2"/>
      <w:sz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22ea25d">
    <w:name w:val="批注主题 字符222ea25d"/>
    <w:link w:val="7"/>
    <w:qFormat/>
    <w:uiPriority w:val="0"/>
    <w:rPr>
      <w:b/>
      <w:bCs/>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8cad39f">
    <w:name w:val="gramee8cad39f"/>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03f348d">
    <w:name w:val="default203f348d"/>
    <w:basedOn w:val="3f681e16"/>
    <w:qFormat/>
    <w:uiPriority w:val="0"/>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2026-02-28T00:37:12Z</dcterms:created>
  <dc:creator>Apache POI</dc:creator>
</cp:coreProperties>
</file>