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华夏理财固定收益纯债型封闭式理财产品337号</w:t>
      </w:r>
    </w:p>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说明书</w:t>
      </w:r>
    </w:p>
    <w:p>
      <w:pPr>
        <w:pStyle w:val="13"/>
        <w:widowControl/>
        <w:adjustRightInd w:val="0"/>
        <w:snapToGrid w:val="0"/>
        <w:spacing w:line="240" w:lineRule="auto"/>
        <w:ind w:firstLine="0"/>
        <w:jc w:val="center"/>
        <w:rPr>
          <w:rFonts w:hint="eastAsia" w:ascii="黑体" w:hAnsi="黑体" w:eastAsia="黑体" w:cs="黑体"/>
          <w:bCs/>
          <w:sz w:val="28"/>
          <w:szCs w:val="28"/>
          <w:highlight w:val="none"/>
          <w:u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rPr>
        <w:t>：</w:t>
      </w:r>
      <w:r>
        <w:rPr>
          <w:rFonts w:hint="eastAsia" w:ascii="黑体" w:hAnsi="黑体" w:eastAsia="黑体" w:cs="黑体"/>
          <w:b/>
          <w:bCs w:val="0"/>
          <w:sz w:val="28"/>
          <w:szCs w:val="28"/>
          <w:highlight w:val="none"/>
          <w:u w:val="none"/>
        </w:rPr>
        <w:t>Z7003926000268</w:t>
      </w:r>
    </w:p>
    <w:tbl>
      <w:tblPr>
        <w:tblStyle w:val="21"/>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不能申购、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w:t>
            </w:r>
            <w:r>
              <w:rPr>
                <w:rFonts w:ascii="黑体" w:hAnsi="黑体" w:eastAsia="黑体"/>
                <w:b/>
                <w:sz w:val="28"/>
                <w:szCs w:val="28"/>
                <w:highlight w:val="none"/>
                <w:u w:val="single"/>
              </w:rPr>
              <w:t>在购买理财产品前，投资者应</w:t>
            </w:r>
            <w:r>
              <w:rPr>
                <w:rFonts w:hint="eastAsia" w:ascii="黑体" w:hAnsi="黑体" w:eastAsia="黑体"/>
                <w:b/>
                <w:sz w:val="28"/>
                <w:szCs w:val="28"/>
                <w:highlight w:val="none"/>
                <w:u w:val="single"/>
              </w:rPr>
              <w:t>仔细阅读本说明书，</w:t>
            </w:r>
            <w:r>
              <w:rPr>
                <w:rFonts w:ascii="黑体" w:hAnsi="黑体" w:eastAsia="黑体"/>
                <w:b/>
                <w:sz w:val="28"/>
                <w:szCs w:val="28"/>
                <w:highlight w:val="none"/>
                <w:u w:val="single"/>
              </w:rPr>
              <w:t>确保自己完全明白</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项投资的性质和所涉及的风险，详细了解和审慎评估</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理财产品的资金投资方向、风险类型等基本情况，在慎重考虑后自行决定购买与自身风险承受能力和资产管理需求匹配的理财产品</w:t>
            </w:r>
            <w:r>
              <w:rPr>
                <w:rFonts w:hint="eastAsia" w:ascii="黑体" w:hAnsi="黑体" w:eastAsia="黑体"/>
                <w:b/>
                <w:sz w:val="28"/>
                <w:szCs w:val="28"/>
                <w:highlight w:val="none"/>
                <w:u w:val="single"/>
              </w:rPr>
              <w:t>。本理财产品的业绩比较基准（如有）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cs="Times New Roman"/>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3"/>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3"/>
        <w:keepNext/>
        <w:keepLines w:val="0"/>
        <w:pageBreakBefore w:val="0"/>
        <w:widowControl w:val="0"/>
        <w:kinsoku/>
        <w:wordWrap/>
        <w:overflowPunct/>
        <w:topLinePunct w:val="0"/>
        <w:autoSpaceDE/>
        <w:autoSpaceDN/>
        <w:bidi w:val="0"/>
        <w:adjustRightInd/>
        <w:snapToGrid/>
        <w:spacing w:before="0" w:after="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1"/>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华夏理财固定收益纯债型封闭式理财产品337号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A份额简称：“华夏理财固收纯债封闭式337号182天A”</w:t>
            </w:r>
            <w:r>
              <w:rPr>
                <w:rFonts w:ascii="仿宋" w:hAnsi="仿宋" w:eastAsia="仿宋"/>
                <w:b/>
                <w:bCs/>
                <w:szCs w:val="21"/>
                <w:highlight w:val="none"/>
              </w:rPr>
              <w:br w:type="textWrapping"/>
            </w:r>
            <w:r>
              <w:rPr>
                <w:rFonts w:ascii="仿宋" w:hAnsi="仿宋" w:eastAsia="仿宋"/>
                <w:b/>
                <w:bCs/>
                <w:szCs w:val="21"/>
                <w:highlight w:val="none"/>
              </w:rPr>
              <w:t>B份额简称：“华夏理财固收纯债封闭式337号182天B”</w:t>
            </w:r>
            <w:r>
              <w:rPr>
                <w:rFonts w:ascii="仿宋" w:hAnsi="仿宋" w:eastAsia="仿宋"/>
                <w:b/>
                <w:bCs/>
                <w:szCs w:val="21"/>
                <w:highlight w:val="none"/>
              </w:rPr>
              <w:br w:type="textWrapping"/>
            </w:r>
            <w:r>
              <w:rPr>
                <w:rFonts w:ascii="仿宋" w:hAnsi="仿宋" w:eastAsia="仿宋"/>
                <w:b/>
                <w:bCs/>
                <w:szCs w:val="21"/>
                <w:highlight w:val="none"/>
              </w:rPr>
              <w:t>C份额简称：“华夏理财固收纯债封闭式337号182天C”</w:t>
            </w:r>
            <w:r>
              <w:rPr>
                <w:rFonts w:ascii="仿宋" w:hAnsi="仿宋" w:eastAsia="仿宋"/>
                <w:b/>
                <w:bCs/>
                <w:szCs w:val="21"/>
                <w:highlight w:val="none"/>
              </w:rPr>
              <w:br w:type="textWrapping"/>
            </w:r>
            <w:r>
              <w:rPr>
                <w:rFonts w:ascii="仿宋" w:hAnsi="仿宋" w:eastAsia="仿宋"/>
                <w:b/>
                <w:bCs/>
                <w:szCs w:val="21"/>
                <w:highlight w:val="none"/>
              </w:rPr>
              <w:t>D份额简称：“华夏理财固收纯债封闭式337号182天D”</w:t>
            </w:r>
            <w:r>
              <w:rPr>
                <w:rFonts w:ascii="仿宋" w:hAnsi="仿宋" w:eastAsia="仿宋"/>
                <w:b/>
                <w:bCs/>
                <w:szCs w:val="21"/>
                <w:highlight w:val="none"/>
              </w:rPr>
              <w:br w:type="textWrapping"/>
            </w:r>
            <w:r>
              <w:rPr>
                <w:rFonts w:ascii="仿宋" w:hAnsi="仿宋" w:eastAsia="仿宋"/>
                <w:b/>
                <w:bCs/>
                <w:szCs w:val="21"/>
                <w:highlight w:val="none"/>
              </w:rPr>
              <w:t>E份额简称：“华夏理财固收纯债封闭式337号182天E”</w:t>
            </w:r>
            <w:r>
              <w:rPr>
                <w:rFonts w:ascii="仿宋" w:hAnsi="仿宋" w:eastAsia="仿宋"/>
                <w:b/>
                <w:bCs/>
                <w:szCs w:val="21"/>
                <w:highlight w:val="none"/>
              </w:rPr>
              <w:br w:type="textWrapping"/>
            </w:r>
            <w:r>
              <w:rPr>
                <w:rFonts w:ascii="仿宋" w:hAnsi="仿宋" w:eastAsia="仿宋"/>
                <w:b/>
                <w:bCs/>
                <w:szCs w:val="21"/>
                <w:highlight w:val="none"/>
              </w:rPr>
              <w:t>H份额简称：“华夏理财固收纯债封闭式337号182天H”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ascii="仿宋" w:hAnsi="仿宋" w:eastAsia="仿宋"/>
                <w:bCs/>
                <w:szCs w:val="21"/>
                <w:highlight w:val="none"/>
                <w:u w:val="none"/>
              </w:rPr>
              <w:t>26111036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A份额代码：26111036A</w:t>
            </w:r>
            <w:r>
              <w:rPr>
                <w:rFonts w:ascii="仿宋" w:hAnsi="仿宋" w:eastAsia="仿宋"/>
                <w:bCs/>
                <w:szCs w:val="21"/>
                <w:highlight w:val="none"/>
                <w:u w:val="none"/>
              </w:rPr>
              <w:br w:type="textWrapping"/>
            </w:r>
            <w:r>
              <w:rPr>
                <w:rFonts w:ascii="仿宋" w:hAnsi="仿宋" w:eastAsia="仿宋"/>
                <w:bCs/>
                <w:szCs w:val="21"/>
                <w:highlight w:val="none"/>
                <w:u w:val="none"/>
              </w:rPr>
              <w:t>B份额代码：26111036B</w:t>
            </w:r>
            <w:r>
              <w:rPr>
                <w:rFonts w:ascii="仿宋" w:hAnsi="仿宋" w:eastAsia="仿宋"/>
                <w:bCs/>
                <w:szCs w:val="21"/>
                <w:highlight w:val="none"/>
                <w:u w:val="none"/>
              </w:rPr>
              <w:br w:type="textWrapping"/>
            </w:r>
            <w:r>
              <w:rPr>
                <w:rFonts w:ascii="仿宋" w:hAnsi="仿宋" w:eastAsia="仿宋"/>
                <w:bCs/>
                <w:szCs w:val="21"/>
                <w:highlight w:val="none"/>
                <w:u w:val="none"/>
              </w:rPr>
              <w:t>C份额代码：26111036C</w:t>
            </w:r>
            <w:r>
              <w:rPr>
                <w:rFonts w:ascii="仿宋" w:hAnsi="仿宋" w:eastAsia="仿宋"/>
                <w:bCs/>
                <w:szCs w:val="21"/>
                <w:highlight w:val="none"/>
                <w:u w:val="none"/>
              </w:rPr>
              <w:br w:type="textWrapping"/>
            </w:r>
            <w:r>
              <w:rPr>
                <w:rFonts w:ascii="仿宋" w:hAnsi="仿宋" w:eastAsia="仿宋"/>
                <w:bCs/>
                <w:szCs w:val="21"/>
                <w:highlight w:val="none"/>
                <w:u w:val="none"/>
              </w:rPr>
              <w:t>D份额代码：26111036D</w:t>
            </w:r>
            <w:r>
              <w:rPr>
                <w:rFonts w:ascii="仿宋" w:hAnsi="仿宋" w:eastAsia="仿宋"/>
                <w:bCs/>
                <w:szCs w:val="21"/>
                <w:highlight w:val="none"/>
                <w:u w:val="none"/>
              </w:rPr>
              <w:br w:type="textWrapping"/>
            </w:r>
            <w:r>
              <w:rPr>
                <w:rFonts w:ascii="仿宋" w:hAnsi="仿宋" w:eastAsia="仿宋"/>
                <w:bCs/>
                <w:szCs w:val="21"/>
                <w:highlight w:val="none"/>
                <w:u w:val="none"/>
              </w:rPr>
              <w:t>E份额代码：26111036E</w:t>
            </w:r>
            <w:r>
              <w:rPr>
                <w:rFonts w:ascii="仿宋" w:hAnsi="仿宋" w:eastAsia="仿宋"/>
                <w:bCs/>
                <w:szCs w:val="21"/>
                <w:highlight w:val="none"/>
                <w:u w:val="none"/>
              </w:rPr>
              <w:br w:type="textWrapping"/>
            </w:r>
            <w:r>
              <w:rPr>
                <w:rFonts w:ascii="仿宋" w:hAnsi="仿宋" w:eastAsia="仿宋"/>
                <w:bCs/>
                <w:szCs w:val="21"/>
                <w:highlight w:val="none"/>
                <w:u w:val="none"/>
              </w:rPr>
              <w:t>H份额代码：26111036H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u w:val="none"/>
              </w:rPr>
              <w:t>Z7003926000268</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封闭期内发生调整，投资者不得以自身风险承受能力评估结果与产品风险评级不匹配等为由要求提前赎回理财产品份额，</w:t>
            </w:r>
            <w:r>
              <w:rPr>
                <w:rFonts w:hint="eastAsia" w:ascii="仿宋" w:hAnsi="仿宋" w:eastAsia="仿宋"/>
                <w:b/>
                <w:bCs/>
                <w:color w:val="000000"/>
                <w:szCs w:val="21"/>
                <w:highlight w:val="none"/>
              </w:rPr>
              <w:t>华夏理财/代销机构将不</w:t>
            </w:r>
            <w:r>
              <w:rPr>
                <w:rFonts w:hint="eastAsia" w:ascii="仿宋" w:hAnsi="仿宋" w:eastAsia="仿宋"/>
                <w:b/>
                <w:bCs/>
                <w:color w:val="000000"/>
                <w:szCs w:val="21"/>
                <w:highlight w:val="none"/>
                <w:lang w:val="en-US" w:eastAsia="zh-CN"/>
              </w:rPr>
              <w:t>接</w:t>
            </w:r>
            <w:r>
              <w:rPr>
                <w:rFonts w:hint="eastAsia" w:ascii="仿宋" w:hAnsi="仿宋" w:eastAsia="仿宋"/>
                <w:b/>
                <w:bCs/>
                <w:color w:val="000000"/>
                <w:szCs w:val="21"/>
                <w:highlight w:val="none"/>
              </w:rPr>
              <w:t>受理投资者任何形式的提前赎回申请。</w:t>
            </w:r>
          </w:p>
          <w:p>
            <w:pPr>
              <w:keepNext w:val="0"/>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val="0"/>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】的普通投资者和专业投资者。客户风险承受能力评级类型分为：CR1（谨慎型）、CR2（稳健型）、CR3（平衡型）、CR4（进取型）、CR5（激进型）</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；如投资者属于专业投资者，华夏理财/代销机构有权视情况简化或者免于对该等专业投资者进行风险承受能力评估。</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2.25%（年化）；B份额：业绩比较基准为2.20%（年化）；C份额：业绩比较基准为2.10%（年化）；D份额：业绩比较基准为2.05%（年化）；E份额：业绩比较基准为2.00%（年化）；H份额：业绩比较基准为2.15%（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产品全部投资于固定收益类资产，以产品主要投资于存款、债券类资产为例，参考目标资产当前收益水平，结合产品灵活期限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业绩比较基准不是预期收益率，不代表产品的未来表现和实际收益，不构成对产品收益的承诺</w:t>
            </w:r>
            <w:r>
              <w:rPr>
                <w:rFonts w:hint="eastAsia" w:ascii="仿宋" w:hAnsi="仿宋" w:eastAsia="仿宋" w:cs="Cambria"/>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bookmarkStart w:id="1" w:name="OLE_LINK3"/>
            <w:bookmarkStart w:id="2" w:name="_Hlk290294163"/>
            <w:bookmarkStart w:id="3" w:name="OLE_LINK2"/>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color w:val="000000"/>
                <w:szCs w:val="21"/>
                <w:highlight w:val="none"/>
                <w:u w:val="none"/>
              </w:rPr>
              <w:t>2026年3月3日</w:t>
            </w:r>
            <w:r>
              <w:rPr>
                <w:rFonts w:hint="eastAsia" w:ascii="仿宋" w:hAnsi="仿宋" w:eastAsia="仿宋"/>
                <w:bCs/>
                <w:szCs w:val="21"/>
                <w:highlight w:val="none"/>
              </w:rPr>
              <w:t>－</w:t>
            </w:r>
            <w:r>
              <w:rPr>
                <w:rFonts w:hint="eastAsia" w:ascii="仿宋" w:hAnsi="仿宋" w:eastAsia="仿宋"/>
                <w:bCs/>
                <w:szCs w:val="21"/>
                <w:highlight w:val="none"/>
              </w:rPr>
              <w:t>2026年3月9日</w:t>
            </w:r>
            <w:r>
              <w:rPr>
                <w:rFonts w:hint="eastAsia" w:ascii="仿宋" w:hAnsi="仿宋" w:eastAsia="仿宋"/>
                <w:bCs/>
                <w:szCs w:val="21"/>
                <w:highlight w:val="none"/>
              </w:rPr>
              <w:t>（含）</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color w:val="000000"/>
                <w:szCs w:val="21"/>
                <w:highlight w:val="none"/>
                <w:u w:val="none"/>
              </w:rPr>
              <w:t>2026年3月10日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eastAsia="仿宋"/>
                <w:highlight w:val="none"/>
                <w:lang w:val="en-US" w:eastAsia="zh-CN"/>
              </w:rPr>
            </w:pPr>
            <w:r>
              <w:rPr>
                <w:rFonts w:hint="eastAsia" w:ascii="仿宋" w:hAnsi="仿宋" w:eastAsia="仿宋"/>
                <w:bCs/>
                <w:color w:val="000000"/>
                <w:szCs w:val="21"/>
                <w:highlight w:val="none"/>
                <w:u w:val="none"/>
              </w:rPr>
              <w:t>182</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color w:val="000000"/>
                <w:szCs w:val="21"/>
                <w:highlight w:val="none"/>
                <w:u w:val="none"/>
              </w:rPr>
              <w:t>2026年9月8日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eastAsia="仿宋"/>
                <w:highlight w:val="none"/>
                <w:lang w:eastAsia="zh-CN"/>
              </w:rPr>
            </w:pPr>
            <w:r>
              <w:rPr>
                <w:rFonts w:hint="eastAsia" w:ascii="仿宋" w:hAnsi="仿宋" w:eastAsia="仿宋"/>
                <w:bCs/>
                <w:szCs w:val="21"/>
                <w:highlight w:val="none"/>
              </w:rPr>
              <w:t>本产品计划发行规模下限为2,000万元。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华夏理财客户的理财签约</w:t>
            </w:r>
            <w:r>
              <w:rPr>
                <w:rFonts w:ascii="仿宋" w:hAnsi="仿宋" w:eastAsia="仿宋"/>
                <w:bCs/>
                <w:szCs w:val="21"/>
                <w:highlight w:val="none"/>
              </w:rPr>
              <w:t>账户</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如代销机构规定与本规则不一致，则以各代销机构规定为准，但不得低于本条款约定的金额。</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w:t>
            </w:r>
            <w:r>
              <w:rPr>
                <w:rFonts w:hint="eastAsia" w:ascii="仿宋" w:hAnsi="仿宋" w:eastAsia="仿宋"/>
                <w:bCs/>
                <w:szCs w:val="21"/>
                <w:highlight w:val="none"/>
              </w:rPr>
              <w:t>高于</w:t>
            </w:r>
            <w:r>
              <w:rPr>
                <w:rFonts w:hint="eastAsia" w:ascii="仿宋" w:hAnsi="仿宋" w:eastAsia="仿宋"/>
                <w:highlight w:val="none"/>
              </w:rPr>
              <w:t>本条款约定的</w:t>
            </w:r>
            <w:r>
              <w:rPr>
                <w:rFonts w:hint="eastAsia" w:ascii="仿宋" w:hAnsi="仿宋" w:eastAsia="仿宋"/>
                <w:bCs/>
                <w:szCs w:val="21"/>
                <w:highlight w:val="none"/>
              </w:rPr>
              <w:t>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通过华夏理财认购的，投资者撤销的本金在</w:t>
            </w:r>
            <w:r>
              <w:rPr>
                <w:rFonts w:hint="eastAsia" w:ascii="仿宋" w:hAnsi="仿宋" w:eastAsia="仿宋"/>
                <w:bCs/>
                <w:color w:val="000000"/>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w:t>
            </w:r>
            <w:r>
              <w:rPr>
                <w:rFonts w:hint="eastAsia" w:ascii="仿宋" w:hAnsi="仿宋" w:eastAsia="仿宋"/>
                <w:bCs/>
                <w:szCs w:val="21"/>
                <w:highlight w:val="none"/>
                <w:lang w:val="en-US" w:eastAsia="zh-CN"/>
              </w:rPr>
              <w:t>其他</w:t>
            </w:r>
            <w:r>
              <w:rPr>
                <w:rFonts w:hint="eastAsia" w:ascii="仿宋" w:hAnsi="仿宋" w:eastAsia="仿宋"/>
                <w:bCs/>
                <w:szCs w:val="21"/>
                <w:highlight w:val="none"/>
              </w:rPr>
              <w:t>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B份额：0.10%/年，以前一日资产净值为基数，每日计提。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D份额：0.25%/年，以前一日资产净值为基数，每日计提。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E份额：0.30%/年，以前一日资产净值为基数，每日计提。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H份额：0.15%/年，以前一日资产净值为基数，每日计提。</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0.30%</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0.30%</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 w:val="0"/>
                <w:bCs/>
                <w:szCs w:val="21"/>
                <w:highlight w:val="none"/>
                <w:lang w:val="en-US"/>
              </w:rPr>
            </w:pPr>
            <w:r>
              <w:rPr>
                <w:rFonts w:hint="eastAsia" w:ascii="仿宋" w:hAnsi="仿宋" w:eastAsia="仿宋"/>
                <w:b w:val="0"/>
                <w:bCs/>
                <w:szCs w:val="21"/>
                <w:highlight w:val="none"/>
              </w:rPr>
              <w:t>超额</w:t>
            </w:r>
            <w:r>
              <w:rPr>
                <w:rFonts w:ascii="仿宋" w:hAnsi="仿宋" w:eastAsia="仿宋"/>
                <w:b w:val="0"/>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
                <w:szCs w:val="21"/>
                <w:highlight w:val="none"/>
                <w:u w:val="none"/>
              </w:rPr>
              <w:t>本理财产品扣除各项费用（包括销售手续费、托管费、固定管理费及其他费用等）后，年化收益率低于或等于超额计提基准，则管理人不收取超额管理费；超过超额计提基准的部分，50%归投资人所有，50%作为管理人的超额管理费。</w:t>
            </w:r>
            <w:r>
              <w:rPr>
                <w:rFonts w:ascii="仿宋" w:hAnsi="仿宋" w:eastAsia="仿宋"/>
                <w:b/>
                <w:szCs w:val="21"/>
                <w:highlight w:val="none"/>
                <w:u w:val="none"/>
              </w:rPr>
              <w:br w:type="textWrapping"/>
            </w:r>
            <w:r>
              <w:rPr>
                <w:rFonts w:ascii="仿宋" w:hAnsi="仿宋" w:eastAsia="仿宋"/>
                <w:b/>
                <w:szCs w:val="21"/>
                <w:highlight w:val="none"/>
                <w:u w:val="none"/>
              </w:rPr>
              <w:t xml:space="preserve">    A份额：超额计提基准为2.25%（年化）。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B份额：超额计提基准为2.20%（年化）。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C份额：超额计提基准为2.10%（年化）。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D份额：超额计提基准为2.05%（年化）。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E份额：超额计提基准为2.00%（年化）。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H份额：超额计提基准为2.15%（年化）。</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本理财产品超额管理费的计算公式：</w:t>
            </w:r>
            <w:bookmarkStart w:id="6" w:name="_GoBack"/>
            <w:bookmarkEnd w:id="6"/>
            <w:r>
              <w:rPr>
                <w:rFonts w:ascii="仿宋" w:hAnsi="仿宋" w:eastAsia="仿宋"/>
                <w:b/>
                <w:szCs w:val="21"/>
                <w:highlight w:val="none"/>
                <w:u w:val="none"/>
              </w:rPr>
              <w:br w:type="textWrapping"/>
            </w:r>
            <w:r>
              <w:rPr>
                <w:rFonts w:ascii="仿宋" w:hAnsi="仿宋" w:eastAsia="仿宋"/>
                <w:b/>
                <w:szCs w:val="21"/>
                <w:highlight w:val="none"/>
                <w:u w:val="none"/>
              </w:rPr>
              <w:t xml:space="preserve">    超额管理费=（年化收益率-超额计提基准）×当期持有天数÷365×50% ×产品份额×1.0000</w:t>
            </w:r>
            <w:r>
              <w:rPr>
                <w:rFonts w:ascii="仿宋" w:hAnsi="仿宋" w:eastAsia="仿宋"/>
                <w:b/>
                <w:szCs w:val="21"/>
                <w:highlight w:val="none"/>
                <w:u w:val="none"/>
              </w:rPr>
              <w:br w:type="textWrapping"/>
            </w:r>
            <w:r>
              <w:rPr>
                <w:rFonts w:ascii="仿宋" w:hAnsi="仿宋" w:eastAsia="仿宋"/>
                <w:b/>
                <w:szCs w:val="21"/>
                <w:highlight w:val="none"/>
                <w:u w:val="none"/>
              </w:rPr>
              <w:t xml:space="preserve">    其中：年化收益率=（计提日累计单位净值-1.0000）÷1.0000×365÷当期持有天数。“产品份额”为产品份额，若有红利再投时，将剔除红利再投产生份额的影响。</w:t>
            </w:r>
            <w:r>
              <w:rPr>
                <w:rFonts w:ascii="仿宋" w:hAnsi="仿宋" w:eastAsia="仿宋"/>
                <w:b/>
                <w:szCs w:val="21"/>
                <w:highlight w:val="none"/>
                <w:u w:val="none"/>
              </w:rPr>
              <w:br w:type="textWrapping"/>
            </w:r>
            <w:r>
              <w:rPr>
                <w:rFonts w:ascii="仿宋" w:hAnsi="仿宋" w:eastAsia="仿宋"/>
                <w:b/>
                <w:szCs w:val="21"/>
                <w:highlight w:val="none"/>
                <w:u w:val="none"/>
              </w:rPr>
              <w:t xml:space="preserve">    投资周期内每个估值日计提超额管理费，仅作为暂估数据，用于本产品会计核算和估值日估值。仅到期/终止日为本产品超额管理费实际计提和收取日。</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及产品运作情况调整上述规则，并至少于生效前3个工作日通过本产品说明书约定的信息披露渠道进行公告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产品每周五的份额净值，将在该周五结束后的第3个工作日公告（如周五为非工作日，则公告周五上1个工作日的份额净值；如当周没有第3个工作日，则顺延至下1个工作日）。</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产品到期/终止日的份额净值，将在到期/终止</w:t>
            </w:r>
            <w:r>
              <w:rPr>
                <w:rFonts w:ascii="仿宋" w:hAnsi="仿宋" w:eastAsia="仿宋"/>
                <w:bCs/>
                <w:szCs w:val="21"/>
                <w:highlight w:val="none"/>
              </w:rPr>
              <w:t>日</w:t>
            </w:r>
            <w:r>
              <w:rPr>
                <w:rFonts w:hint="eastAsia" w:ascii="仿宋" w:hAnsi="仿宋" w:eastAsia="仿宋"/>
                <w:highlight w:val="none"/>
              </w:rPr>
              <w:t>结束</w:t>
            </w:r>
            <w:r>
              <w:rPr>
                <w:rFonts w:ascii="仿宋" w:hAnsi="仿宋" w:eastAsia="仿宋"/>
                <w:bCs/>
                <w:szCs w:val="21"/>
                <w:highlight w:val="none"/>
              </w:rPr>
              <w:t>后的</w:t>
            </w:r>
            <w:r>
              <w:rPr>
                <w:rFonts w:hint="eastAsia" w:ascii="仿宋" w:hAnsi="仿宋" w:eastAsia="仿宋"/>
                <w:bCs/>
                <w:szCs w:val="21"/>
                <w:highlight w:val="none"/>
              </w:rPr>
              <w:t>2个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公告。</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产品封闭期</w:t>
            </w:r>
            <w:r>
              <w:rPr>
                <w:rFonts w:hint="eastAsia" w:ascii="仿宋" w:hAnsi="仿宋" w:eastAsia="仿宋"/>
                <w:b/>
                <w:bCs/>
                <w:szCs w:val="21"/>
                <w:highlight w:val="none"/>
              </w:rPr>
              <w:t>净值公告中的工作日，指上海证券交易所和深圳证券交易所的交易日，且同时为银行对外办理一般对公业务的工作日。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募集期认购资金计息规则、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lang w:val="en-US" w:eastAsia="zh-CN"/>
        </w:rPr>
        <w:t>二、</w:t>
      </w:r>
      <w:r>
        <w:rPr>
          <w:rFonts w:hint="eastAsia" w:ascii="Times New Roman" w:eastAsia="黑体" w:cs="Times New Roman"/>
          <w:b/>
          <w:color w:val="auto"/>
          <w:highlight w:val="none"/>
        </w:rPr>
        <w:t>投资对象</w:t>
      </w:r>
    </w:p>
    <w:p>
      <w:pPr>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本产品100%投资于固定收益类金融工具，包括货币市场工具、标准化债权类资产及其他符合监管要求的固定收益类金融工具。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1"/>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货币市场工具</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标准化债权类资产</w:t>
            </w:r>
          </w:p>
        </w:tc>
        <w:tc>
          <w:tcPr>
            <w:tcW w:w="2580"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0%-100%</w:t>
            </w:r>
          </w:p>
        </w:tc>
      </w:tr>
    </w:tbl>
    <w:p>
      <w:pPr>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sz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lang w:val="en-US" w:eastAsia="zh-CN"/>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w:t>
      </w:r>
      <w:r>
        <w:rPr>
          <w:rFonts w:hint="eastAsia" w:ascii="仿宋" w:hAnsi="仿宋" w:eastAsia="仿宋" w:cs="宋体"/>
          <w:sz w:val="24"/>
          <w:highlight w:val="none"/>
          <w:lang w:val="en-US" w:eastAsia="zh-CN"/>
        </w:rPr>
        <w:t>者</w:t>
      </w:r>
      <w:r>
        <w:rPr>
          <w:rFonts w:hint="eastAsia" w:ascii="仿宋" w:hAnsi="仿宋" w:eastAsia="仿宋" w:cs="宋体"/>
          <w:sz w:val="24"/>
          <w:highlight w:val="none"/>
        </w:rPr>
        <w:t>不接受上述调整，则应在公告规定时间内提前赎回本理财产品；</w:t>
      </w:r>
      <w:r>
        <w:rPr>
          <w:rFonts w:hint="eastAsia" w:ascii="仿宋" w:hAnsi="仿宋" w:eastAsia="仿宋" w:cs="宋体"/>
          <w:b/>
          <w:bCs/>
          <w:sz w:val="24"/>
          <w:highlight w:val="none"/>
        </w:rPr>
        <w:t>若本理财产品投资</w:t>
      </w:r>
      <w:r>
        <w:rPr>
          <w:rFonts w:hint="eastAsia" w:ascii="仿宋" w:hAnsi="仿宋" w:eastAsia="仿宋" w:cs="宋体"/>
          <w:b/>
          <w:bCs/>
          <w:sz w:val="24"/>
          <w:highlight w:val="none"/>
          <w:lang w:val="en-US" w:eastAsia="zh-CN"/>
        </w:rPr>
        <w:t>者</w:t>
      </w:r>
      <w:r>
        <w:rPr>
          <w:rFonts w:hint="eastAsia" w:ascii="仿宋" w:hAnsi="仿宋" w:eastAsia="仿宋" w:cs="宋体"/>
          <w:b/>
          <w:bCs/>
          <w:sz w:val="24"/>
          <w:highlight w:val="none"/>
        </w:rPr>
        <w:t>未在公告规定时间内提前赎回本理财产品，则视为其对相关调整无异议且同意在调整后继续持有本理财产品。</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三、理财产品相关主体的基本情况</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（一）</w:t>
      </w:r>
      <w:r>
        <w:rPr>
          <w:rFonts w:hint="eastAsia" w:ascii="仿宋" w:hAnsi="仿宋" w:eastAsia="仿宋" w:cs="宋体"/>
          <w:sz w:val="24"/>
          <w:highlight w:val="none"/>
          <w:lang w:val="en-US" w:eastAsia="zh-CN"/>
        </w:rPr>
        <w:t>产品管理人</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keepLines w:val="0"/>
        <w:pageBreakBefore w:val="0"/>
        <w:widowControl/>
        <w:kinsoku/>
        <w:wordWrap/>
        <w:overflowPunct/>
        <w:topLinePunct w:val="0"/>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rPr>
        <w:t>.</w:t>
      </w:r>
      <w:r>
        <w:rPr>
          <w:rFonts w:hint="eastAsia" w:ascii="仿宋" w:hAnsi="仿宋" w:eastAsia="仿宋" w:cs="宋体"/>
          <w:color w:val="000000"/>
          <w:kern w:val="0"/>
          <w:sz w:val="24"/>
          <w:highlight w:val="none"/>
        </w:rPr>
        <w:t>基本信息</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名    称：</w:t>
      </w:r>
      <w:r>
        <w:rPr>
          <w:rFonts w:ascii="仿宋" w:hAnsi="仿宋" w:eastAsia="仿宋"/>
          <w:highlight w:val="none"/>
        </w:rPr>
        <w:t>华夏理财有限责任公司</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highlight w:val="none"/>
        </w:rPr>
      </w:pPr>
      <w:r>
        <w:rPr>
          <w:rFonts w:hint="eastAsia" w:ascii="仿宋" w:hAnsi="仿宋" w:eastAsia="仿宋"/>
          <w:highlight w:val="none"/>
        </w:rPr>
        <w:t>联系方式：4001795577</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（二）</w:t>
      </w:r>
      <w:r>
        <w:rPr>
          <w:rFonts w:hint="eastAsia" w:ascii="仿宋" w:hAnsi="仿宋" w:eastAsia="仿宋" w:cs="宋体"/>
          <w:sz w:val="24"/>
          <w:highlight w:val="none"/>
          <w:lang w:val="en-US" w:eastAsia="zh-CN"/>
        </w:rPr>
        <w:t>托管机构</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sz w:val="24"/>
          <w:szCs w:val="24"/>
          <w:highlight w:val="none"/>
        </w:rPr>
        <w:t>名    称：</w:t>
      </w:r>
      <w:r>
        <w:rPr>
          <w:rFonts w:ascii="仿宋" w:hAnsi="仿宋" w:eastAsia="仿宋" w:cs="宋体"/>
          <w:sz w:val="24"/>
          <w:szCs w:val="24"/>
          <w:highlight w:val="none"/>
        </w:rPr>
        <w:t>华夏银行股份有限公司</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sz w:val="24"/>
          <w:szCs w:val="24"/>
          <w:highlight w:val="none"/>
        </w:rPr>
        <w:t>住    所</w:t>
      </w:r>
      <w:r>
        <w:rPr>
          <w:rFonts w:hint="eastAsia" w:ascii="仿宋" w:hAnsi="仿宋" w:eastAsia="仿宋" w:cs="宋体"/>
          <w:color w:val="000000"/>
          <w:sz w:val="24"/>
          <w:szCs w:val="24"/>
          <w:highlight w:val="none"/>
        </w:rPr>
        <w:t>：</w:t>
      </w:r>
      <w:r>
        <w:rPr>
          <w:rFonts w:ascii="仿宋" w:hAnsi="仿宋" w:eastAsia="仿宋" w:cs="宋体"/>
          <w:color w:val="000000"/>
          <w:sz w:val="24"/>
          <w:szCs w:val="24"/>
          <w:highlight w:val="none"/>
        </w:rPr>
        <w:t>北京市东城区建国门内大街22号</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rPr>
        <w:t>本理财产品的销售机构与托管机构可能为产品管理人的关联方，包括但不限于管理人控股股东华夏银行股份有限公司，以及其他根据法律法规和金融监督管理部门相关规定认定的关联方。</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四、理财产品份额净值的计算</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五、认购</w:t>
      </w:r>
    </w:p>
    <w:p>
      <w:pPr>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仿宋"/>
          <w:kern w:val="0"/>
          <w:sz w:val="24"/>
          <w:highlight w:val="none"/>
        </w:rPr>
      </w:pPr>
      <w:r>
        <w:rPr>
          <w:rFonts w:hint="eastAsia" w:ascii="仿宋" w:hAnsi="仿宋" w:eastAsia="仿宋" w:cs="宋体"/>
          <w:kern w:val="0"/>
          <w:sz w:val="24"/>
          <w:highlight w:val="none"/>
        </w:rPr>
        <w:t>（一）认购交易渠道和规定</w:t>
      </w:r>
    </w:p>
    <w:p>
      <w:pPr>
        <w:keepLines w:val="0"/>
        <w:pageBreakBefore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宋体"/>
          <w:kern w:val="0"/>
          <w:sz w:val="24"/>
          <w:highlight w:val="none"/>
        </w:rPr>
      </w:pPr>
      <w:r>
        <w:rPr>
          <w:rFonts w:hint="eastAsia" w:ascii="仿宋" w:hAnsi="仿宋" w:eastAsia="仿宋" w:cs="宋体"/>
          <w:kern w:val="0"/>
          <w:sz w:val="24"/>
          <w:highlight w:val="none"/>
        </w:rPr>
        <w:t>（二）拒绝或暂停</w:t>
      </w:r>
      <w:r>
        <w:rPr>
          <w:rFonts w:hint="eastAsia" w:ascii="仿宋" w:hAnsi="仿宋" w:eastAsia="仿宋" w:cs="宋体"/>
          <w:color w:val="000000"/>
          <w:kern w:val="0"/>
          <w:sz w:val="24"/>
          <w:highlight w:val="none"/>
        </w:rPr>
        <w:t>认</w:t>
      </w:r>
      <w:r>
        <w:rPr>
          <w:rFonts w:hint="eastAsia" w:ascii="仿宋" w:hAnsi="仿宋" w:eastAsia="仿宋" w:cs="宋体"/>
          <w:kern w:val="0"/>
          <w:sz w:val="24"/>
          <w:highlight w:val="none"/>
        </w:rPr>
        <w:t>购的情形</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如果投资</w:t>
      </w:r>
      <w:r>
        <w:rPr>
          <w:rFonts w:hint="eastAsia" w:ascii="仿宋" w:hAnsi="仿宋" w:eastAsia="仿宋"/>
          <w:highlight w:val="none"/>
          <w:lang w:val="en-US" w:eastAsia="zh-CN"/>
        </w:rPr>
        <w:t>者</w:t>
      </w:r>
      <w:r>
        <w:rPr>
          <w:rFonts w:hint="eastAsia" w:ascii="仿宋" w:hAnsi="仿宋" w:eastAsia="仿宋"/>
          <w:highlight w:val="none"/>
        </w:rPr>
        <w:t>的认购申请被全部或部分拒绝的，被拒绝的认购款项将退还给投资</w:t>
      </w:r>
      <w:r>
        <w:rPr>
          <w:rFonts w:hint="eastAsia" w:ascii="仿宋" w:hAnsi="仿宋" w:eastAsia="仿宋"/>
          <w:highlight w:val="none"/>
          <w:lang w:val="en-US" w:eastAsia="zh-CN"/>
        </w:rPr>
        <w:t>者</w:t>
      </w:r>
      <w:r>
        <w:rPr>
          <w:rFonts w:hint="eastAsia" w:ascii="仿宋" w:hAnsi="仿宋" w:eastAsia="仿宋"/>
          <w:highlight w:val="none"/>
        </w:rPr>
        <w:t>。在暂停认购的情况消除时，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六、收益示例</w:t>
      </w:r>
    </w:p>
    <w:p>
      <w:pPr>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1</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管理人收取超额管理费，扣除超额管理费后的产品到期日份额净值为</w:t>
      </w:r>
      <w:r>
        <w:rPr>
          <w:rFonts w:ascii="仿宋" w:hAnsi="仿宋" w:eastAsia="仿宋" w:cs="仿宋"/>
          <w:sz w:val="24"/>
          <w:highlight w:val="none"/>
        </w:rPr>
        <w:t>1.0800</w:t>
      </w:r>
      <w:r>
        <w:rPr>
          <w:rFonts w:hint="eastAsia" w:ascii="仿宋" w:hAnsi="仿宋" w:eastAsia="仿宋" w:cs="仿宋"/>
          <w:sz w:val="24"/>
          <w:highlight w:val="none"/>
        </w:rPr>
        <w:t>，客户到期获得的金额为：</w:t>
      </w:r>
      <w:r>
        <w:rPr>
          <w:rFonts w:ascii="仿宋" w:hAnsi="仿宋" w:eastAsia="仿宋" w:cs="仿宋"/>
          <w:sz w:val="24"/>
          <w:highlight w:val="none"/>
        </w:rPr>
        <w:t>100,000*1.0800=108,000.00</w:t>
      </w:r>
      <w:r>
        <w:rPr>
          <w:rFonts w:hint="eastAsia" w:ascii="仿宋" w:hAnsi="仿宋" w:eastAsia="仿宋" w:cs="仿宋"/>
          <w:sz w:val="24"/>
          <w:highlight w:val="none"/>
        </w:rPr>
        <w:t>元。</w:t>
      </w:r>
    </w:p>
    <w:p>
      <w:pPr>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2</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1.0200</w:t>
      </w:r>
      <w:r>
        <w:rPr>
          <w:rFonts w:hint="eastAsia" w:ascii="仿宋" w:hAnsi="仿宋" w:eastAsia="仿宋" w:cs="仿宋"/>
          <w:sz w:val="24"/>
          <w:highlight w:val="none"/>
        </w:rPr>
        <w:t>，客户到期获得的金额为：</w:t>
      </w:r>
      <w:r>
        <w:rPr>
          <w:rFonts w:ascii="仿宋" w:hAnsi="仿宋" w:eastAsia="仿宋" w:cs="仿宋"/>
          <w:sz w:val="24"/>
          <w:highlight w:val="none"/>
        </w:rPr>
        <w:t>100,000*1.0200=102,000.00</w:t>
      </w:r>
      <w:r>
        <w:rPr>
          <w:rFonts w:hint="eastAsia" w:ascii="仿宋" w:hAnsi="仿宋" w:eastAsia="仿宋" w:cs="仿宋"/>
          <w:sz w:val="24"/>
          <w:highlight w:val="none"/>
        </w:rPr>
        <w:t>元</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3</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0.9980</w:t>
      </w:r>
      <w:r>
        <w:rPr>
          <w:rFonts w:hint="eastAsia" w:ascii="仿宋" w:hAnsi="仿宋" w:eastAsia="仿宋" w:cs="仿宋"/>
          <w:sz w:val="24"/>
          <w:highlight w:val="none"/>
        </w:rPr>
        <w:t>，客户到期获得的金额为：</w:t>
      </w:r>
      <w:r>
        <w:rPr>
          <w:rFonts w:ascii="仿宋" w:hAnsi="仿宋" w:eastAsia="仿宋" w:cs="仿宋"/>
          <w:sz w:val="24"/>
          <w:highlight w:val="none"/>
        </w:rPr>
        <w:t>100,000*0.9980=99,800.00</w:t>
      </w:r>
      <w:r>
        <w:rPr>
          <w:rFonts w:hint="eastAsia" w:ascii="仿宋" w:hAnsi="仿宋" w:eastAsia="仿宋" w:cs="仿宋"/>
          <w:sz w:val="24"/>
          <w:highlight w:val="none"/>
        </w:rPr>
        <w:t>元。</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七、理财产品估值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5.证券投资基金的估值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9.汇率估值方法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w:t>
      </w:r>
      <w:r>
        <w:rPr>
          <w:rFonts w:hint="eastAsia" w:ascii="仿宋" w:hAnsi="仿宋" w:eastAsia="仿宋"/>
          <w:color w:val="auto"/>
          <w:highlight w:val="none"/>
          <w:lang w:eastAsia="zh-CN"/>
        </w:rPr>
        <w:t>托管机构</w:t>
      </w:r>
      <w:r>
        <w:rPr>
          <w:rFonts w:hint="eastAsia" w:ascii="仿宋" w:hAnsi="仿宋" w:eastAsia="仿宋"/>
          <w:color w:val="auto"/>
          <w:highlight w:val="none"/>
        </w:rPr>
        <w:t>协商确定计算方法。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w:t>
      </w:r>
      <w:r>
        <w:rPr>
          <w:rFonts w:hint="eastAsia" w:ascii="仿宋" w:hAnsi="仿宋" w:eastAsia="仿宋"/>
          <w:color w:val="auto"/>
          <w:highlight w:val="none"/>
          <w:lang w:eastAsia="zh-CN"/>
        </w:rPr>
        <w:t>托管机构</w:t>
      </w:r>
      <w:r>
        <w:rPr>
          <w:rFonts w:hint="eastAsia" w:ascii="仿宋" w:hAnsi="仿宋" w:eastAsia="仿宋"/>
          <w:color w:val="auto"/>
          <w:highlight w:val="none"/>
        </w:rPr>
        <w:t>商议后，按最能反映理财产品财产公允价值的方法估值。即使存在上述情况，产品管理人或</w:t>
      </w:r>
      <w:r>
        <w:rPr>
          <w:rFonts w:hint="eastAsia" w:ascii="仿宋" w:hAnsi="仿宋" w:eastAsia="仿宋"/>
          <w:color w:val="auto"/>
          <w:highlight w:val="none"/>
          <w:lang w:eastAsia="zh-CN"/>
        </w:rPr>
        <w:t>托管机构</w:t>
      </w:r>
      <w:r>
        <w:rPr>
          <w:rFonts w:hint="eastAsia" w:ascii="仿宋" w:hAnsi="仿宋" w:eastAsia="仿宋"/>
          <w:color w:val="auto"/>
          <w:highlight w:val="none"/>
        </w:rPr>
        <w:t>若采用上述规定的方法为理财产品财产进行了估值，仍应被认为采用了适当的估值方法。</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八、风险揭示</w:t>
      </w:r>
    </w:p>
    <w:p>
      <w:pPr>
        <w:pStyle w:val="183"/>
        <w:keepNext w:val="0"/>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keepNext w:val="0"/>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（十二）关联关系风险：本理财产品的代销机构与</w:t>
      </w:r>
      <w:r>
        <w:rPr>
          <w:rFonts w:hint="eastAsia" w:eastAsia="黑体"/>
          <w:b/>
          <w:sz w:val="24"/>
          <w:highlight w:val="none"/>
          <w:lang w:eastAsia="zh-CN"/>
        </w:rPr>
        <w:t>托管机构</w:t>
      </w:r>
      <w:r>
        <w:rPr>
          <w:rFonts w:hint="eastAsia" w:eastAsia="黑体"/>
          <w:b/>
          <w:sz w:val="24"/>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3"/>
        <w:keepNext w:val="0"/>
        <w:keepLines w:val="0"/>
        <w:pageBreakBefore w:val="0"/>
        <w:widowControl w:val="0"/>
        <w:numPr>
          <w:ilvl w:val="0"/>
          <w:numId w:val="0"/>
        </w:numPr>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本产品由于投资于货币市场工具、标准化债权类资产等固定收益类资产，因此可能面临如下特定风险：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5.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九、信息披露</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净值公告”约定</w:t>
      </w:r>
      <w:r>
        <w:rPr>
          <w:rFonts w:ascii="仿宋" w:hAnsi="仿宋" w:eastAsia="仿宋" w:cs="宋体"/>
          <w:sz w:val="24"/>
          <w:highlight w:val="none"/>
        </w:rPr>
        <w:t>披露产品净值。</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lang w:val="en-US" w:eastAsia="zh-CN"/>
        </w:rPr>
        <w:t>销售机构</w:t>
      </w:r>
      <w:r>
        <w:rPr>
          <w:rFonts w:hint="eastAsia" w:ascii="仿宋" w:hAnsi="仿宋" w:eastAsia="仿宋" w:cs="宋体"/>
          <w:sz w:val="24"/>
          <w:highlight w:val="none"/>
        </w:rPr>
        <w:t>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highlight w:val="none"/>
        </w:rPr>
        <w:t>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十、特别提示</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sz w:val="24"/>
          <w:highlight w:val="none"/>
        </w:rPr>
        <w:t>方式通知投资者。</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十一、说明书签署及生效</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spacing w:line="276" w:lineRule="auto"/>
        <w:contextualSpacing/>
        <w:jc w:val="left"/>
        <w:rPr>
          <w:rFonts w:ascii="仿宋" w:hAnsi="仿宋" w:eastAsia="仿宋" w:cs="宋体"/>
          <w:sz w:val="24"/>
          <w:highlight w:val="none"/>
        </w:rPr>
      </w:pPr>
    </w:p>
    <w:p>
      <w:pPr>
        <w:spacing w:line="276" w:lineRule="auto"/>
        <w:contextualSpacing/>
        <w:jc w:val="left"/>
        <w:rPr>
          <w:rFonts w:ascii="仿宋" w:hAnsi="仿宋" w:eastAsia="仿宋" w:cs="宋体"/>
          <w:color w:val="000000"/>
          <w:sz w:val="24"/>
          <w:highlight w:val="none"/>
        </w:rPr>
      </w:pPr>
    </w:p>
    <w:p>
      <w:pPr>
        <w:spacing w:line="276" w:lineRule="auto"/>
        <w:ind w:firstLine="0"/>
        <w:contextualSpacing/>
        <w:jc w:val="left"/>
        <w:rPr>
          <w:rFonts w:ascii="仿宋" w:hAnsi="仿宋" w:eastAsia="仿宋" w:cs="宋体"/>
          <w:color w:val="000000"/>
          <w:sz w:val="24"/>
          <w:highlight w:val="none"/>
        </w:rPr>
      </w:pP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rPr>
          <w:highlight w:val="none"/>
        </w:rPr>
      </w:pPr>
    </w:p>
    <w:sectPr>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footnotePr>
    <w:footnote w:id="0"/>
    <w:footnote w:id="1"/>
  </w:footnotePr>
  <w:endnotePr>
    <w:endnote w:id="0"/>
    <w:endnote w:id="1"/>
  </w:endnotePr>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A05EF"/>
    <w:rsid w:val="053F27A4"/>
    <w:rsid w:val="062C21B1"/>
    <w:rsid w:val="0CCD1E1C"/>
    <w:rsid w:val="17D105FA"/>
    <w:rsid w:val="1BE5417A"/>
    <w:rsid w:val="20816A63"/>
    <w:rsid w:val="20A63817"/>
    <w:rsid w:val="23485F72"/>
    <w:rsid w:val="267B6F01"/>
    <w:rsid w:val="2A781B3D"/>
    <w:rsid w:val="30A5295D"/>
    <w:rsid w:val="3A094EC7"/>
    <w:rsid w:val="3CD043D5"/>
    <w:rsid w:val="3E6A66F5"/>
    <w:rsid w:val="40C13F4A"/>
    <w:rsid w:val="41313685"/>
    <w:rsid w:val="418A1A7B"/>
    <w:rsid w:val="44D418C3"/>
    <w:rsid w:val="479358FE"/>
    <w:rsid w:val="485B7BAF"/>
    <w:rsid w:val="48855C04"/>
    <w:rsid w:val="4A614797"/>
    <w:rsid w:val="4C0A12CF"/>
    <w:rsid w:val="534D4621"/>
    <w:rsid w:val="54511D02"/>
    <w:rsid w:val="58D10596"/>
    <w:rsid w:val="5A467247"/>
    <w:rsid w:val="5C326053"/>
    <w:rsid w:val="61750674"/>
    <w:rsid w:val="6D0743F8"/>
    <w:rsid w:val="6FD44CAB"/>
    <w:rsid w:val="75076A10"/>
    <w:rsid w:val="7B2A0CBB"/>
    <w:rsid w:val="7C0E0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paragraph" w:styleId="2">
    <w:name w:val="heading 1"/>
    <w:basedOn w:val="1"/>
    <w:next w:val="1"/>
    <w:link w:val="156"/>
    <w:qFormat/>
    <w:uiPriority w:val="9"/>
    <w:pPr>
      <w:keepNext/>
      <w:keepLines/>
      <w:spacing w:before="360" w:after="80"/>
      <w:outlineLvl w:val="0"/>
    </w:pPr>
    <w:rPr>
      <w:rFonts w:ascii="Arial" w:hAnsi="Arial" w:eastAsia="Arial" w:cs="Arial"/>
      <w:color w:val="2E75B6" w:themeColor="accent1" w:themeShade="BF"/>
      <w:sz w:val="40"/>
      <w:szCs w:val="40"/>
    </w:rPr>
  </w:style>
  <w:style w:type="paragraph" w:styleId="3">
    <w:name w:val="heading 2"/>
    <w:basedOn w:val="1"/>
    <w:next w:val="1"/>
    <w:link w:val="157"/>
    <w:unhideWhenUsed/>
    <w:qFormat/>
    <w:uiPriority w:val="9"/>
    <w:pPr>
      <w:keepNext/>
      <w:keepLines/>
      <w:spacing w:before="160" w:after="80"/>
      <w:outlineLvl w:val="1"/>
    </w:pPr>
    <w:rPr>
      <w:rFonts w:ascii="Arial" w:hAnsi="Arial" w:eastAsia="Arial" w:cs="Arial"/>
      <w:color w:val="2E75B6" w:themeColor="accent1" w:themeShade="BF"/>
      <w:sz w:val="32"/>
      <w:szCs w:val="32"/>
    </w:rPr>
  </w:style>
  <w:style w:type="paragraph" w:styleId="4">
    <w:name w:val="heading 3"/>
    <w:basedOn w:val="1"/>
    <w:next w:val="1"/>
    <w:link w:val="158"/>
    <w:unhideWhenUsed/>
    <w:qFormat/>
    <w:uiPriority w:val="9"/>
    <w:pPr>
      <w:keepNext/>
      <w:keepLines/>
      <w:spacing w:before="160" w:after="80"/>
      <w:outlineLvl w:val="2"/>
    </w:pPr>
    <w:rPr>
      <w:rFonts w:ascii="Arial" w:hAnsi="Arial" w:eastAsia="Arial" w:cs="Arial"/>
      <w:color w:val="2E75B6" w:themeColor="accent1" w:themeShade="BF"/>
      <w:sz w:val="28"/>
      <w:szCs w:val="28"/>
    </w:rPr>
  </w:style>
  <w:style w:type="paragraph" w:styleId="5">
    <w:name w:val="heading 4"/>
    <w:basedOn w:val="1"/>
    <w:next w:val="1"/>
    <w:link w:val="159"/>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60"/>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61"/>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2"/>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3"/>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4"/>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qFormat/>
    <w:uiPriority w:val="0"/>
    <w:pPr>
      <w:jc w:val="left"/>
    </w:pPr>
  </w:style>
  <w:style w:type="paragraph" w:styleId="13">
    <w:name w:val="Body Text Indent"/>
    <w:basedOn w:val="1"/>
    <w:unhideWhenUsed/>
    <w:qFormat/>
    <w:uiPriority w:val="0"/>
    <w:pPr>
      <w:ind w:firstLine="630"/>
    </w:pPr>
    <w:rPr>
      <w:sz w:val="24"/>
    </w:rPr>
  </w:style>
  <w:style w:type="paragraph" w:styleId="14">
    <w:name w:val="endnote text"/>
    <w:basedOn w:val="1"/>
    <w:link w:val="181"/>
    <w:semiHidden/>
    <w:unhideWhenUsed/>
    <w:qFormat/>
    <w:uiPriority w:val="99"/>
    <w:pPr>
      <w:spacing w:after="0" w:line="240" w:lineRule="auto"/>
    </w:pPr>
    <w:rPr>
      <w:sz w:val="20"/>
      <w:szCs w:val="20"/>
    </w:rPr>
  </w:style>
  <w:style w:type="paragraph" w:styleId="15">
    <w:name w:val="footer"/>
    <w:basedOn w:val="1"/>
    <w:link w:val="179"/>
    <w:unhideWhenUsed/>
    <w:qFormat/>
    <w:uiPriority w:val="99"/>
    <w:pPr>
      <w:tabs>
        <w:tab w:val="center" w:pos="4844"/>
        <w:tab w:val="right" w:pos="9689"/>
      </w:tabs>
      <w:spacing w:after="0" w:line="240" w:lineRule="auto"/>
    </w:pPr>
  </w:style>
  <w:style w:type="paragraph" w:styleId="16">
    <w:name w:val="header"/>
    <w:basedOn w:val="1"/>
    <w:link w:val="178"/>
    <w:unhideWhenUsed/>
    <w:qFormat/>
    <w:uiPriority w:val="99"/>
    <w:pPr>
      <w:tabs>
        <w:tab w:val="center" w:pos="4844"/>
        <w:tab w:val="right" w:pos="9689"/>
      </w:tabs>
      <w:spacing w:after="0" w:line="240" w:lineRule="auto"/>
    </w:pPr>
  </w:style>
  <w:style w:type="paragraph" w:styleId="17">
    <w:name w:val="Subtitle"/>
    <w:basedOn w:val="1"/>
    <w:next w:val="1"/>
    <w:link w:val="166"/>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8">
    <w:name w:val="footnote text"/>
    <w:basedOn w:val="1"/>
    <w:link w:val="180"/>
    <w:semiHidden/>
    <w:unhideWhenUsed/>
    <w:qFormat/>
    <w:uiPriority w:val="99"/>
    <w:pPr>
      <w:spacing w:after="0" w:line="240" w:lineRule="auto"/>
    </w:pPr>
    <w:rPr>
      <w:sz w:val="20"/>
      <w:szCs w:val="20"/>
    </w:rPr>
  </w:style>
  <w:style w:type="paragraph" w:styleId="19">
    <w:name w:val="table of figures"/>
    <w:basedOn w:val="1"/>
    <w:next w:val="1"/>
    <w:unhideWhenUsed/>
    <w:qFormat/>
    <w:uiPriority w:val="99"/>
    <w:pPr>
      <w:spacing w:after="0" w:afterAutospacing="0"/>
    </w:pPr>
  </w:style>
  <w:style w:type="paragraph" w:styleId="20">
    <w:name w:val="Title"/>
    <w:basedOn w:val="1"/>
    <w:next w:val="1"/>
    <w:link w:val="165"/>
    <w:qFormat/>
    <w:uiPriority w:val="10"/>
    <w:pPr>
      <w:spacing w:after="80" w:line="240" w:lineRule="auto"/>
      <w:contextualSpacing/>
    </w:pPr>
    <w:rPr>
      <w:rFonts w:ascii="Arial" w:hAnsi="Arial" w:eastAsia="Arial" w:cs="Arial"/>
      <w:spacing w:val="-10"/>
      <w:sz w:val="56"/>
      <w:szCs w:val="56"/>
    </w:rPr>
  </w:style>
  <w:style w:type="table" w:styleId="22">
    <w:name w:val="Table Grid"/>
    <w:basedOn w:val="21"/>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4">
    <w:name w:val="Strong"/>
    <w:basedOn w:val="23"/>
    <w:qFormat/>
    <w:uiPriority w:val="22"/>
    <w:rPr>
      <w:b/>
      <w:bCs/>
    </w:rPr>
  </w:style>
  <w:style w:type="character" w:styleId="25">
    <w:name w:val="endnote reference"/>
    <w:basedOn w:val="23"/>
    <w:semiHidden/>
    <w:unhideWhenUsed/>
    <w:qFormat/>
    <w:uiPriority w:val="99"/>
    <w:rPr>
      <w:vertAlign w:val="superscript"/>
    </w:rPr>
  </w:style>
  <w:style w:type="character" w:styleId="26">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7">
    <w:name w:val="Emphasis"/>
    <w:basedOn w:val="23"/>
    <w:qFormat/>
    <w:uiPriority w:val="20"/>
    <w:rPr>
      <w:i/>
      <w:iCs/>
    </w:rPr>
  </w:style>
  <w:style w:type="character" w:styleId="28">
    <w:name w:val="Hyperlink"/>
    <w:basedOn w:val="23"/>
    <w:unhideWhenUsed/>
    <w:qFormat/>
    <w:uiPriority w:val="99"/>
    <w:rPr>
      <w:color w:val="0563C1" w:themeColor="hyperlink"/>
      <w:u w:val="single"/>
      <w14:textFill>
        <w14:solidFill>
          <w14:schemeClr w14:val="hlink"/>
        </w14:solidFill>
      </w14:textFill>
    </w:rPr>
  </w:style>
  <w:style w:type="character" w:styleId="29">
    <w:name w:val="annotation reference"/>
    <w:qFormat/>
    <w:uiPriority w:val="0"/>
    <w:rPr>
      <w:sz w:val="21"/>
      <w:szCs w:val="21"/>
    </w:rPr>
  </w:style>
  <w:style w:type="character" w:styleId="30">
    <w:name w:val="footnote reference"/>
    <w:basedOn w:val="23"/>
    <w:semiHidden/>
    <w:unhideWhenUsed/>
    <w:qFormat/>
    <w:uiPriority w:val="99"/>
    <w:rPr>
      <w:vertAlign w:val="superscript"/>
    </w:rPr>
  </w:style>
  <w:style w:type="table" w:customStyle="1" w:styleId="31">
    <w:name w:val="Table Grid Light"/>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2">
    <w:name w:val="Plain Table 1"/>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3">
    <w:name w:val="Plain Table 2"/>
    <w:basedOn w:val="2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4">
    <w:name w:val="Plain Table 3"/>
    <w:basedOn w:val="2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5">
    <w:name w:val="Plain Table 4"/>
    <w:basedOn w:val="2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6">
    <w:name w:val="Plain Table 5"/>
    <w:basedOn w:val="2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7">
    <w:name w:val="Grid Table 1 Light"/>
    <w:basedOn w:val="2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38">
    <w:name w:val="Grid Table 1 Light - Accent 1"/>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39">
    <w:name w:val="Grid Table 1 Light - Accent 2"/>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0">
    <w:name w:val="Grid Table 1 Light - Accent 3"/>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1">
    <w:name w:val="Grid Table 1 Light - Accent 4"/>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2">
    <w:name w:val="Grid Table 1 Light - Accent 5"/>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3">
    <w:name w:val="Grid Table 1 Light - Accent 6"/>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4">
    <w:name w:val="Grid Table 2"/>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45">
    <w:name w:val="Grid Table 2 - Accent 1"/>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46">
    <w:name w:val="Grid Table 2 - Accent 2"/>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47">
    <w:name w:val="Grid Table 2 - Accent 3"/>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48">
    <w:name w:val="Grid Table 2 - Accent 4"/>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49">
    <w:name w:val="Grid Table 2 - Accent 5"/>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0">
    <w:name w:val="Grid Table 2 - Accent 6"/>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1">
    <w:name w:val="Grid Table 3"/>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2">
    <w:name w:val="Grid Table 3 - Accent 1"/>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53">
    <w:name w:val="Grid Table 3 - Accent 2"/>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54">
    <w:name w:val="Grid Table 3 - Accent 3"/>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55">
    <w:name w:val="Grid Table 3 - Accent 4"/>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56">
    <w:name w:val="Grid Table 3 - Accent 5"/>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7">
    <w:name w:val="Grid Table 3 - Accent 6"/>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8">
    <w:name w:val="Grid Table 4"/>
    <w:basedOn w:val="2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9">
    <w:name w:val="Grid Table 4 - Accent 1"/>
    <w:basedOn w:val="21"/>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w:type="table" w:customStyle="1" w:styleId="60">
    <w:name w:val="Grid Table 4 - Accent 2"/>
    <w:basedOn w:val="21"/>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61">
    <w:name w:val="Grid Table 4 - Accent 3"/>
    <w:basedOn w:val="21"/>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62">
    <w:name w:val="Grid Table 4 - Accent 4"/>
    <w:basedOn w:val="21"/>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63">
    <w:name w:val="Grid Table 4 - Accent 5"/>
    <w:basedOn w:val="21"/>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64">
    <w:name w:val="Grid Table 4 - Accent 6"/>
    <w:basedOn w:val="21"/>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65">
    <w:name w:val="Grid Table 5 Dark"/>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66">
    <w:name w:val="Grid Table 5 Dark- Accent 1"/>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w:type="table" w:customStyle="1" w:styleId="67">
    <w:name w:val="Grid Table 5 Dark - Accent 2"/>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w:type="table" w:customStyle="1" w:styleId="68">
    <w:name w:val="Grid Table 5 Dark - Accent 3"/>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w:type="table" w:customStyle="1" w:styleId="69">
    <w:name w:val="Grid Table 5 Dark- Accent 4"/>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w:type="table" w:customStyle="1" w:styleId="70">
    <w:name w:val="Grid Table 5 Dark - Accent 5"/>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w:type="table" w:customStyle="1" w:styleId="71">
    <w:name w:val="Grid Table 5 Dark - Accent 6"/>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w:type="table" w:customStyle="1" w:styleId="72">
    <w:name w:val="Grid Table 6 Colorful"/>
    <w:basedOn w:val="2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3">
    <w:name w:val="Grid Table 6 Colorful - Accent 1"/>
    <w:basedOn w:val="21"/>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4">
    <w:name w:val="Grid Table 6 Colorful - Accent 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75">
    <w:name w:val="Grid Table 6 Colorful - Accent 3"/>
    <w:basedOn w:val="21"/>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76">
    <w:name w:val="Grid Table 6 Colorful - Accent 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77">
    <w:name w:val="Grid Table 6 Colorful - Accent 5"/>
    <w:basedOn w:val="21"/>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8">
    <w:name w:val="Grid Table 6 Colorful - Accent 6"/>
    <w:basedOn w:val="21"/>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9">
    <w:name w:val="Grid Table 7 Colorful"/>
    <w:basedOn w:val="2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0">
    <w:name w:val="Grid Table 7 Colorful - Accent 1"/>
    <w:basedOn w:val="21"/>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1">
    <w:name w:val="Grid Table 7 Colorful - Accent 2"/>
    <w:basedOn w:val="21"/>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2">
    <w:name w:val="Grid Table 7 Colorful - Accent 3"/>
    <w:basedOn w:val="21"/>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3">
    <w:name w:val="Grid Table 7 Colorful - Accent 4"/>
    <w:basedOn w:val="21"/>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4">
    <w:name w:val="Grid Table 7 Colorful - Accent 5"/>
    <w:basedOn w:val="21"/>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5">
    <w:name w:val="Grid Table 7 Colorful - Accent 6"/>
    <w:basedOn w:val="21"/>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86">
    <w:name w:val="List Table 1 Light"/>
    <w:basedOn w:val="2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87">
    <w:name w:val="List Table 1 Light - Accent 1"/>
    <w:basedOn w:val="21"/>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88">
    <w:name w:val="List Table 1 Light - Accent 2"/>
    <w:basedOn w:val="21"/>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89">
    <w:name w:val="List Table 1 Light - Accent 3"/>
    <w:basedOn w:val="21"/>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0">
    <w:name w:val="List Table 1 Light - Accent 4"/>
    <w:basedOn w:val="21"/>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1">
    <w:name w:val="List Table 1 Light - Accent 5"/>
    <w:basedOn w:val="21"/>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2">
    <w:name w:val="List Table 1 Light - Accent 6"/>
    <w:basedOn w:val="21"/>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93">
    <w:name w:val="List Table 2"/>
    <w:basedOn w:val="2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4">
    <w:name w:val="List Table 2 - Accent 1"/>
    <w:basedOn w:val="21"/>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95">
    <w:name w:val="List Table 2 - Accent 2"/>
    <w:basedOn w:val="21"/>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96">
    <w:name w:val="List Table 2 - Accent 3"/>
    <w:basedOn w:val="21"/>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7">
    <w:name w:val="List Table 2 - Accent 4"/>
    <w:basedOn w:val="21"/>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8">
    <w:name w:val="List Table 2 - Accent 5"/>
    <w:basedOn w:val="21"/>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9">
    <w:name w:val="List Table 2 - Accent 6"/>
    <w:basedOn w:val="21"/>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00">
    <w:name w:val="List Table 3"/>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1">
    <w:name w:val="List Table 3 - Accent 1"/>
    <w:basedOn w:val="21"/>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2">
    <w:name w:val="List Table 3 - Accent 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3">
    <w:name w:val="List Table 3 - Accent 3"/>
    <w:basedOn w:val="21"/>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4">
    <w:name w:val="List Table 3 - Accent 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05">
    <w:name w:val="List Table 3 - Accent 5"/>
    <w:basedOn w:val="21"/>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06">
    <w:name w:val="List Table 3 - Accent 6"/>
    <w:basedOn w:val="21"/>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07">
    <w:name w:val="List Table 4"/>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08">
    <w:name w:val="List Table 4 - Accent 1"/>
    <w:basedOn w:val="21"/>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109">
    <w:name w:val="List Table 4 - Accent 2"/>
    <w:basedOn w:val="21"/>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110">
    <w:name w:val="List Table 4 - Accent 3"/>
    <w:basedOn w:val="21"/>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111">
    <w:name w:val="List Table 4 - Accent 4"/>
    <w:basedOn w:val="21"/>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112">
    <w:name w:val="List Table 4 - Accent 5"/>
    <w:basedOn w:val="21"/>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113">
    <w:name w:val="List Table 4 - Accent 6"/>
    <w:basedOn w:val="21"/>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14">
    <w:name w:val="List Table 5 Dark"/>
    <w:basedOn w:val="2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15">
    <w:name w:val="List Table 5 Dark - Accent 1"/>
    <w:basedOn w:val="21"/>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w:type="table" w:customStyle="1" w:styleId="116">
    <w:name w:val="List Table 5 Dark - Accent 2"/>
    <w:basedOn w:val="21"/>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w:type="table" w:customStyle="1" w:styleId="117">
    <w:name w:val="List Table 5 Dark - Accent 3"/>
    <w:basedOn w:val="21"/>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w:type="table" w:customStyle="1" w:styleId="118">
    <w:name w:val="List Table 5 Dark - Accent 4"/>
    <w:basedOn w:val="21"/>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w:type="table" w:customStyle="1" w:styleId="119">
    <w:name w:val="List Table 5 Dark - Accent 5"/>
    <w:basedOn w:val="21"/>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w:type="table" w:customStyle="1" w:styleId="120">
    <w:name w:val="List Table 5 Dark - Accent 6"/>
    <w:basedOn w:val="21"/>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w:type="table" w:customStyle="1" w:styleId="121">
    <w:name w:val="List Table 6 Colorful"/>
    <w:basedOn w:val="2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2">
    <w:name w:val="List Table 6 Colorful - Accent 1"/>
    <w:basedOn w:val="21"/>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3">
    <w:name w:val="List Table 6 Colorful - Accent 2"/>
    <w:basedOn w:val="21"/>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4">
    <w:name w:val="List Table 6 Colorful - Accent 3"/>
    <w:basedOn w:val="21"/>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25">
    <w:name w:val="List Table 6 Colorful - Accent 4"/>
    <w:basedOn w:val="21"/>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26">
    <w:name w:val="List Table 6 Colorful - Accent 5"/>
    <w:basedOn w:val="21"/>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27">
    <w:name w:val="List Table 6 Colorful - Accent 6"/>
    <w:basedOn w:val="21"/>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28">
    <w:name w:val="List Table 7 Colorful"/>
    <w:basedOn w:val="2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29">
    <w:name w:val="List Table 7 Colorful - Accent 1"/>
    <w:basedOn w:val="21"/>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0">
    <w:name w:val="List Table 7 Colorful - Accent 2"/>
    <w:basedOn w:val="21"/>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1">
    <w:name w:val="List Table 7 Colorful - Accent 3"/>
    <w:basedOn w:val="21"/>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2">
    <w:name w:val="List Table 7 Colorful - Accent 4"/>
    <w:basedOn w:val="21"/>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3">
    <w:name w:val="List Table 7 Colorful - Accent 5"/>
    <w:basedOn w:val="21"/>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4">
    <w:name w:val="List Table 7 Colorful - Accent 6"/>
    <w:basedOn w:val="21"/>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5">
    <w:name w:val="Lined - Accent"/>
    <w:basedOn w:val="2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36">
    <w:name w:val="Lined - Accent 1"/>
    <w:basedOn w:val="21"/>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37">
    <w:name w:val="Lined - Accent 2"/>
    <w:basedOn w:val="21"/>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38">
    <w:name w:val="Lined - Accent 3"/>
    <w:basedOn w:val="21"/>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39">
    <w:name w:val="Lined - Accent 4"/>
    <w:basedOn w:val="21"/>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0">
    <w:name w:val="Lined - Accent 5"/>
    <w:basedOn w:val="21"/>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1">
    <w:name w:val="Lined - Accent 6"/>
    <w:basedOn w:val="21"/>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2">
    <w:name w:val="Bordered &amp; Lined - Accent"/>
    <w:basedOn w:val="2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3">
    <w:name w:val="Bordered &amp; Lined - Accent 1"/>
    <w:basedOn w:val="21"/>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44">
    <w:name w:val="Bordered &amp; Lined - Accent 2"/>
    <w:basedOn w:val="21"/>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45">
    <w:name w:val="Bordered &amp; Lined - Accent 3"/>
    <w:basedOn w:val="21"/>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46">
    <w:name w:val="Bordered &amp; Lined - Accent 4"/>
    <w:basedOn w:val="21"/>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7">
    <w:name w:val="Bordered &amp; Lined - Accent 5"/>
    <w:basedOn w:val="21"/>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8">
    <w:name w:val="Bordered &amp; Lined - Accent 6"/>
    <w:basedOn w:val="21"/>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9">
    <w:name w:val="Bordered"/>
    <w:basedOn w:val="2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0">
    <w:name w:val="Bordered - Accent 1"/>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1">
    <w:name w:val="Bordered - Accent 2"/>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2">
    <w:name w:val="Bordered - Accent 3"/>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3">
    <w:name w:val="Bordered - Accent 4"/>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4">
    <w:name w:val="Bordered - Accent 5"/>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55">
    <w:name w:val="Bordered - Accent 6"/>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56">
    <w:name w:val="Heading 1 Char"/>
    <w:basedOn w:val="23"/>
    <w:link w:val="2"/>
    <w:qFormat/>
    <w:uiPriority w:val="9"/>
    <w:rPr>
      <w:rFonts w:ascii="Arial" w:hAnsi="Arial" w:eastAsia="Arial" w:cs="Arial"/>
      <w:color w:val="2E75B6" w:themeColor="accent1" w:themeShade="BF"/>
      <w:sz w:val="40"/>
      <w:szCs w:val="40"/>
    </w:rPr>
  </w:style>
  <w:style w:type="character" w:customStyle="1" w:styleId="157">
    <w:name w:val="Heading 2 Char"/>
    <w:basedOn w:val="23"/>
    <w:link w:val="3"/>
    <w:qFormat/>
    <w:uiPriority w:val="9"/>
    <w:rPr>
      <w:rFonts w:ascii="Arial" w:hAnsi="Arial" w:eastAsia="Arial" w:cs="Arial"/>
      <w:color w:val="2E75B6" w:themeColor="accent1" w:themeShade="BF"/>
      <w:sz w:val="32"/>
      <w:szCs w:val="32"/>
    </w:rPr>
  </w:style>
  <w:style w:type="character" w:customStyle="1" w:styleId="158">
    <w:name w:val="Heading 3 Char"/>
    <w:basedOn w:val="23"/>
    <w:link w:val="4"/>
    <w:qFormat/>
    <w:uiPriority w:val="9"/>
    <w:rPr>
      <w:rFonts w:ascii="Arial" w:hAnsi="Arial" w:eastAsia="Arial" w:cs="Arial"/>
      <w:color w:val="2E75B6" w:themeColor="accent1" w:themeShade="BF"/>
      <w:sz w:val="28"/>
      <w:szCs w:val="28"/>
    </w:rPr>
  </w:style>
  <w:style w:type="character" w:customStyle="1" w:styleId="159">
    <w:name w:val="Heading 4 Char"/>
    <w:basedOn w:val="23"/>
    <w:link w:val="5"/>
    <w:qFormat/>
    <w:uiPriority w:val="9"/>
    <w:rPr>
      <w:rFonts w:ascii="Arial" w:hAnsi="Arial" w:eastAsia="Arial" w:cs="Arial"/>
      <w:i/>
      <w:iCs/>
      <w:color w:val="2E75B6" w:themeColor="accent1" w:themeShade="BF"/>
    </w:rPr>
  </w:style>
  <w:style w:type="character" w:customStyle="1" w:styleId="160">
    <w:name w:val="Heading 5 Char"/>
    <w:basedOn w:val="23"/>
    <w:link w:val="6"/>
    <w:qFormat/>
    <w:uiPriority w:val="9"/>
    <w:rPr>
      <w:rFonts w:ascii="Arial" w:hAnsi="Arial" w:eastAsia="Arial" w:cs="Arial"/>
      <w:color w:val="2E75B6" w:themeColor="accent1" w:themeShade="BF"/>
    </w:rPr>
  </w:style>
  <w:style w:type="character" w:customStyle="1" w:styleId="161">
    <w:name w:val="Heading 6 Char"/>
    <w:basedOn w:val="23"/>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2">
    <w:name w:val="Heading 7 Char"/>
    <w:basedOn w:val="23"/>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3">
    <w:name w:val="Heading 8 Char"/>
    <w:basedOn w:val="23"/>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4">
    <w:name w:val="Heading 9 Char"/>
    <w:basedOn w:val="23"/>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5">
    <w:name w:val="Title Char"/>
    <w:basedOn w:val="23"/>
    <w:link w:val="20"/>
    <w:qFormat/>
    <w:uiPriority w:val="10"/>
    <w:rPr>
      <w:rFonts w:ascii="Arial" w:hAnsi="Arial" w:eastAsia="Arial" w:cs="Arial"/>
      <w:spacing w:val="-10"/>
      <w:sz w:val="56"/>
      <w:szCs w:val="56"/>
    </w:rPr>
  </w:style>
  <w:style w:type="character" w:customStyle="1" w:styleId="166">
    <w:name w:val="Subtitle Char"/>
    <w:basedOn w:val="23"/>
    <w:link w:val="17"/>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67">
    <w:name w:val="Quote"/>
    <w:basedOn w:val="1"/>
    <w:next w:val="1"/>
    <w:link w:val="16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68">
    <w:name w:val="Quote Char"/>
    <w:basedOn w:val="23"/>
    <w:link w:val="167"/>
    <w:qFormat/>
    <w:uiPriority w:val="29"/>
    <w:rPr>
      <w:i/>
      <w:iCs/>
      <w:color w:val="404040" w:themeColor="text1" w:themeTint="BF"/>
      <w14:textFill>
        <w14:solidFill>
          <w14:schemeClr w14:val="tx1">
            <w14:lumMod w14:val="75000"/>
            <w14:lumOff w14:val="25000"/>
          </w14:schemeClr>
        </w14:solidFill>
      </w14:textFill>
    </w:rPr>
  </w:style>
  <w:style w:type="paragraph" w:styleId="169">
    <w:name w:val="List Paragraph"/>
    <w:basedOn w:val="1"/>
    <w:qFormat/>
    <w:uiPriority w:val="34"/>
    <w:pPr>
      <w:ind w:left="720"/>
      <w:contextualSpacing/>
    </w:pPr>
  </w:style>
  <w:style w:type="character" w:customStyle="1" w:styleId="170">
    <w:name w:val="Intense Emphasis"/>
    <w:basedOn w:val="23"/>
    <w:qFormat/>
    <w:uiPriority w:val="21"/>
    <w:rPr>
      <w:i/>
      <w:iCs/>
      <w:color w:val="2E75B6" w:themeColor="accent1" w:themeShade="BF"/>
    </w:rPr>
  </w:style>
  <w:style w:type="paragraph" w:styleId="171">
    <w:name w:val="Intense Quote"/>
    <w:basedOn w:val="1"/>
    <w:next w:val="1"/>
    <w:link w:val="17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2">
    <w:name w:val="Intense Quote Char"/>
    <w:basedOn w:val="23"/>
    <w:link w:val="171"/>
    <w:qFormat/>
    <w:uiPriority w:val="30"/>
    <w:rPr>
      <w:i/>
      <w:iCs/>
      <w:color w:val="2E75B6" w:themeColor="accent1" w:themeShade="BF"/>
    </w:rPr>
  </w:style>
  <w:style w:type="character" w:customStyle="1" w:styleId="173">
    <w:name w:val="Intense Reference"/>
    <w:basedOn w:val="23"/>
    <w:qFormat/>
    <w:uiPriority w:val="32"/>
    <w:rPr>
      <w:b/>
      <w:bCs/>
      <w:smallCaps/>
      <w:color w:val="2E75B6" w:themeColor="accent1" w:themeShade="BF"/>
      <w:spacing w:val="5"/>
    </w:rPr>
  </w:style>
  <w:style w:type="paragraph" w:styleId="174">
    <w:name w:val="No Spacing"/>
    <w:basedOn w:val="1"/>
    <w:qFormat/>
    <w:uiPriority w:val="1"/>
    <w:pPr>
      <w:spacing w:after="0" w:line="240" w:lineRule="auto"/>
    </w:pPr>
  </w:style>
  <w:style w:type="character" w:customStyle="1" w:styleId="175">
    <w:name w:val="Subtle Emphasis"/>
    <w:basedOn w:val="23"/>
    <w:qFormat/>
    <w:uiPriority w:val="19"/>
    <w:rPr>
      <w:i/>
      <w:iCs/>
      <w:color w:val="404040" w:themeColor="text1" w:themeTint="BF"/>
      <w14:textFill>
        <w14:solidFill>
          <w14:schemeClr w14:val="tx1">
            <w14:lumMod w14:val="75000"/>
            <w14:lumOff w14:val="25000"/>
          </w14:schemeClr>
        </w14:solidFill>
      </w14:textFill>
    </w:rPr>
  </w:style>
  <w:style w:type="character" w:customStyle="1" w:styleId="176">
    <w:name w:val="Subtle Reference"/>
    <w:basedOn w:val="2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7">
    <w:name w:val="Book Title"/>
    <w:basedOn w:val="23"/>
    <w:qFormat/>
    <w:uiPriority w:val="33"/>
    <w:rPr>
      <w:b/>
      <w:bCs/>
      <w:i/>
      <w:iCs/>
      <w:spacing w:val="5"/>
    </w:rPr>
  </w:style>
  <w:style w:type="character" w:customStyle="1" w:styleId="178">
    <w:name w:val="Header Char"/>
    <w:basedOn w:val="23"/>
    <w:link w:val="16"/>
    <w:qFormat/>
    <w:uiPriority w:val="99"/>
  </w:style>
  <w:style w:type="character" w:customStyle="1" w:styleId="179">
    <w:name w:val="Footer Char"/>
    <w:basedOn w:val="23"/>
    <w:link w:val="15"/>
    <w:qFormat/>
    <w:uiPriority w:val="99"/>
  </w:style>
  <w:style w:type="character" w:customStyle="1" w:styleId="180">
    <w:name w:val="Footnote Text Char"/>
    <w:basedOn w:val="23"/>
    <w:link w:val="18"/>
    <w:semiHidden/>
    <w:qFormat/>
    <w:uiPriority w:val="99"/>
    <w:rPr>
      <w:sz w:val="20"/>
      <w:szCs w:val="20"/>
    </w:rPr>
  </w:style>
  <w:style w:type="character" w:customStyle="1" w:styleId="181">
    <w:name w:val="Endnote Text Char"/>
    <w:basedOn w:val="23"/>
    <w:link w:val="14"/>
    <w:semiHidden/>
    <w:qFormat/>
    <w:uiPriority w:val="99"/>
    <w:rPr>
      <w:sz w:val="20"/>
      <w:szCs w:val="20"/>
    </w:rPr>
  </w:style>
  <w:style w:type="paragraph" w:customStyle="1" w:styleId="182">
    <w:name w:val="TOC Heading"/>
    <w:unhideWhenUsed/>
    <w:qFormat/>
    <w:uiPriority w:val="39"/>
    <w:rPr>
      <w:rFonts w:hint="default" w:ascii="Times New Roman" w:hAnsi="Times New Roman" w:eastAsia="宋体" w:cs="Times New Roman"/>
    </w:rPr>
  </w:style>
  <w:style w:type="paragraph" w:customStyle="1" w:styleId="183">
    <w:name w:val="Default"/>
    <w:qFormat/>
    <w:uiPriority w:val="0"/>
    <w:pPr>
      <w:widowControl w:val="0"/>
    </w:pPr>
    <w:rPr>
      <w:rFonts w:hint="default"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5</TotalTime>
  <ScaleCrop>false</ScaleCrop>
  <LinksUpToDate>false</LinksUpToDate>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2025-08-20T10:30:00Z</dcterms:created>
  <dc:creator>hxlcliuyu01</dc:creator>
  <cp:lastModifiedBy>马宁</cp:lastModifiedBy>
  <dcterms:modified xsi:type="dcterms:W3CDTF">2026-02-11T05:42:13Z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22B220A577DB4B46B09269FCB7726688</vt:lpwstr>
  </property>
</Properties>
</file>