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6" w:name="_GoBack"/>
      <w:r>
        <w:rPr>
          <w:rFonts w:hint="eastAsia" w:ascii="黑体" w:hAnsi="黑体" w:eastAsia="黑体" w:cs="黑体"/>
          <w:bCs/>
          <w:sz w:val="36"/>
          <w:szCs w:val="36"/>
          <w:highlight w:val="none"/>
        </w:rPr>
        <w:t>华夏理财固定收益纯债型封闭式理财产品325号</w:t>
      </w:r>
    </w:p>
    <w:p>
      <w:pPr>
        <w:pStyle w:val="12"/>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p>
    <w:tbl>
      <w:tblPr>
        <w:tblStyle w:val="20"/>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w:t>
            </w:r>
            <w:r>
              <w:rPr>
                <w:rFonts w:hint="eastAsia" w:ascii="黑体" w:hAnsi="黑体" w:eastAsia="黑体"/>
                <w:b/>
                <w:sz w:val="28"/>
                <w:szCs w:val="28"/>
                <w:highlight w:val="none"/>
                <w:u w:val="single"/>
              </w:rPr>
              <w:t>本理财产品为非保本浮动收益净值型理财产品，</w:t>
            </w:r>
            <w:r>
              <w:rPr>
                <w:rFonts w:ascii="黑体" w:hAnsi="黑体" w:eastAsia="黑体"/>
                <w:b/>
                <w:sz w:val="28"/>
                <w:szCs w:val="28"/>
                <w:highlight w:val="none"/>
                <w:u w:val="single"/>
              </w:rPr>
              <w:t>华夏</w:t>
            </w:r>
            <w:r>
              <w:rPr>
                <w:rFonts w:hint="eastAsia" w:ascii="黑体" w:hAnsi="黑体" w:eastAsia="黑体"/>
                <w:b/>
                <w:sz w:val="28"/>
                <w:szCs w:val="28"/>
                <w:highlight w:val="none"/>
                <w:u w:val="single"/>
              </w:rPr>
              <w:t>理财</w:t>
            </w:r>
            <w:r>
              <w:rPr>
                <w:rFonts w:ascii="黑体" w:hAnsi="黑体" w:eastAsia="黑体"/>
                <w:b/>
                <w:sz w:val="28"/>
                <w:szCs w:val="28"/>
                <w:highlight w:val="none"/>
                <w:u w:val="single"/>
              </w:rPr>
              <w:t>有限</w:t>
            </w:r>
            <w:r>
              <w:rPr>
                <w:rFonts w:hint="eastAsia" w:ascii="黑体" w:hAnsi="黑体" w:eastAsia="黑体"/>
                <w:b/>
                <w:sz w:val="28"/>
                <w:szCs w:val="28"/>
                <w:highlight w:val="none"/>
                <w:u w:val="single"/>
              </w:rPr>
              <w:t>责任</w:t>
            </w:r>
            <w:r>
              <w:rPr>
                <w:rFonts w:ascii="黑体" w:hAnsi="黑体" w:eastAsia="黑体"/>
                <w:b/>
                <w:sz w:val="28"/>
                <w:szCs w:val="28"/>
                <w:highlight w:val="none"/>
                <w:u w:val="single"/>
              </w:rPr>
              <w:t>公司（以下简称</w:t>
            </w:r>
            <w:r>
              <w:rPr>
                <w:rFonts w:hint="eastAsia" w:ascii="黑体" w:hAnsi="黑体" w:eastAsia="黑体"/>
                <w:b/>
                <w:sz w:val="28"/>
                <w:szCs w:val="28"/>
                <w:highlight w:val="none"/>
                <w:u w:val="single"/>
              </w:rPr>
              <w:t>“</w:t>
            </w:r>
            <w:r>
              <w:rPr>
                <w:rFonts w:ascii="黑体" w:hAnsi="黑体" w:eastAsia="黑体"/>
                <w:b/>
                <w:sz w:val="28"/>
                <w:szCs w:val="28"/>
                <w:highlight w:val="none"/>
                <w:u w:val="single"/>
              </w:rPr>
              <w:t>华夏</w:t>
            </w:r>
            <w:r>
              <w:rPr>
                <w:rFonts w:hint="eastAsia" w:ascii="黑体" w:hAnsi="黑体" w:eastAsia="黑体"/>
                <w:b/>
                <w:sz w:val="28"/>
                <w:szCs w:val="28"/>
                <w:highlight w:val="none"/>
                <w:u w:val="single"/>
              </w:rPr>
              <w:t>理财”</w:t>
            </w:r>
            <w:r>
              <w:rPr>
                <w:rFonts w:ascii="黑体" w:hAnsi="黑体" w:eastAsia="黑体"/>
                <w:b/>
                <w:sz w:val="28"/>
                <w:szCs w:val="28"/>
                <w:highlight w:val="none"/>
                <w:u w:val="single"/>
              </w:rPr>
              <w:t>）不保证理财产品本金及理财收益</w:t>
            </w:r>
            <w:r>
              <w:rPr>
                <w:rFonts w:hint="eastAsia" w:ascii="黑体" w:hAnsi="黑体" w:eastAsia="黑体"/>
                <w:b/>
                <w:sz w:val="28"/>
                <w:szCs w:val="28"/>
                <w:highlight w:val="none"/>
                <w:u w:val="single"/>
              </w:rPr>
              <w:t>。在本理财产品存续期间，除</w:t>
            </w:r>
            <w:r>
              <w:rPr>
                <w:rFonts w:ascii="黑体" w:hAnsi="黑体" w:eastAsia="黑体"/>
                <w:b/>
                <w:sz w:val="28"/>
                <w:szCs w:val="28"/>
                <w:highlight w:val="none"/>
                <w:u w:val="single"/>
              </w:rPr>
              <w:t>本产品说明书约定的特殊情况</w:t>
            </w:r>
            <w:r>
              <w:rPr>
                <w:rFonts w:hint="eastAsia" w:ascii="黑体" w:hAnsi="黑体" w:eastAsia="黑体"/>
                <w:b/>
                <w:sz w:val="28"/>
                <w:szCs w:val="28"/>
                <w:highlight w:val="none"/>
                <w:u w:val="single"/>
              </w:rPr>
              <w:t>外</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投资者不能申购、赎回本理财产品。</w:t>
            </w:r>
            <w:r>
              <w:rPr>
                <w:rFonts w:ascii="黑体" w:hAnsi="黑体" w:eastAsia="黑体"/>
                <w:b/>
                <w:sz w:val="28"/>
                <w:szCs w:val="28"/>
                <w:highlight w:val="none"/>
                <w:u w:val="single"/>
              </w:rPr>
              <w:t>投资者</w:t>
            </w:r>
            <w:r>
              <w:rPr>
                <w:rFonts w:hint="eastAsia" w:ascii="黑体" w:hAnsi="黑体" w:eastAsia="黑体"/>
                <w:b/>
                <w:sz w:val="28"/>
                <w:szCs w:val="28"/>
                <w:highlight w:val="none"/>
                <w:u w:val="single"/>
              </w:rPr>
              <w:t>投资本理财产品所</w:t>
            </w:r>
            <w:r>
              <w:rPr>
                <w:rFonts w:ascii="黑体" w:hAnsi="黑体" w:eastAsia="黑体"/>
                <w:b/>
                <w:sz w:val="28"/>
                <w:szCs w:val="28"/>
                <w:highlight w:val="none"/>
                <w:u w:val="single"/>
              </w:rPr>
              <w:t>面临的风险</w:t>
            </w:r>
            <w:r>
              <w:rPr>
                <w:rFonts w:hint="eastAsia" w:ascii="黑体" w:hAnsi="黑体" w:eastAsia="黑体"/>
                <w:b/>
                <w:sz w:val="28"/>
                <w:szCs w:val="28"/>
                <w:highlight w:val="none"/>
                <w:u w:val="single"/>
              </w:rPr>
              <w:t>包括本金及理财收益风险、信用风险、市场风险、流动性风险、投资风险、汇率风险、法律及政策风险、理财产品不成立风险、提前终止风险、延期风险、信息传递风险、关联关系风险、拟投资市场及资产风险</w:t>
            </w:r>
            <w:r>
              <w:rPr>
                <w:rFonts w:hint="default" w:ascii="黑体" w:hAnsi="黑体" w:eastAsia="黑体"/>
                <w:b/>
                <w:sz w:val="28"/>
                <w:szCs w:val="28"/>
                <w:highlight w:val="none"/>
                <w:u w:val="single"/>
              </w:rPr>
              <w:t>、</w:t>
            </w:r>
            <w:r>
              <w:rPr>
                <w:rFonts w:hint="eastAsia" w:ascii="黑体" w:hAnsi="黑体" w:eastAsia="黑体"/>
                <w:b/>
                <w:sz w:val="28"/>
                <w:szCs w:val="28"/>
                <w:highlight w:val="none"/>
                <w:u w:val="single"/>
              </w:rPr>
              <w:t>其他风险</w:t>
            </w:r>
            <w:r>
              <w:rPr>
                <w:rFonts w:hint="default" w:ascii="黑体" w:hAnsi="黑体" w:eastAsia="黑体"/>
                <w:b/>
                <w:sz w:val="28"/>
                <w:szCs w:val="28"/>
                <w:highlight w:val="none"/>
                <w:u w:val="single"/>
              </w:rPr>
              <w:t>、流动性应对措施及对投资者的潜在影响、本产品特有风险</w:t>
            </w:r>
            <w:r>
              <w:rPr>
                <w:rFonts w:hint="eastAsia" w:ascii="黑体" w:hAnsi="黑体" w:eastAsia="黑体"/>
                <w:b/>
                <w:sz w:val="28"/>
                <w:szCs w:val="28"/>
                <w:highlight w:val="none"/>
                <w:u w:val="single"/>
              </w:rPr>
              <w:t>等，请投资者详细阅读本产品说明书第八部分风险揭示内容</w:t>
            </w:r>
            <w:r>
              <w:rPr>
                <w:rFonts w:ascii="黑体" w:hAnsi="黑体" w:eastAsia="黑体"/>
                <w:b/>
                <w:sz w:val="28"/>
                <w:szCs w:val="28"/>
                <w:highlight w:val="none"/>
                <w:u w:val="single"/>
              </w:rPr>
              <w:t>。投资者应在对风险有充分认识基础上</w:t>
            </w:r>
            <w:r>
              <w:rPr>
                <w:rFonts w:hint="eastAsia" w:ascii="黑体" w:hAnsi="黑体" w:eastAsia="黑体"/>
                <w:b/>
                <w:sz w:val="28"/>
                <w:szCs w:val="28"/>
                <w:highlight w:val="none"/>
                <w:u w:val="single"/>
              </w:rPr>
              <w:t>基于自身的独立判断</w:t>
            </w:r>
            <w:r>
              <w:rPr>
                <w:rFonts w:ascii="黑体" w:hAnsi="黑体" w:eastAsia="黑体"/>
                <w:b/>
                <w:sz w:val="28"/>
                <w:szCs w:val="28"/>
                <w:highlight w:val="none"/>
                <w:u w:val="single"/>
              </w:rPr>
              <w:t>谨慎投资</w:t>
            </w:r>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如有</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华夏理财有限责任公司官方网站（www.hxwm.com.cn）、代理销售机构（如有）信息披露渠道等进行公告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1"/>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1"/>
        <w:keepNext/>
        <w:keepLines w:val="0"/>
        <w:pageBreakBefore w:val="0"/>
        <w:widowControl w:val="0"/>
        <w:bidi w:val="0"/>
        <w:spacing w:before="0" w:after="0" w:line="400" w:lineRule="exact"/>
        <w:ind w:firstLine="482"/>
        <w:jc w:val="both"/>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0"/>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华夏理财固定收益纯债型封闭式理财产品325号</w:t>
            </w:r>
          </w:p>
          <w:p>
            <w:pPr>
              <w:keepNext w:val="0"/>
              <w:keepLines w:val="0"/>
              <w:pageBreakBefore w:val="0"/>
              <w:widowControl w:val="0"/>
              <w:bidi w:val="0"/>
              <w:spacing w:line="300" w:lineRule="atLeast"/>
              <w:jc w:val="center"/>
              <w:rPr>
                <w:rFonts w:hint="eastAsia" w:ascii="仿宋" w:hAnsi="仿宋" w:eastAsia="仿宋"/>
                <w:b/>
                <w:bCs/>
                <w:szCs w:val="21"/>
                <w:highlight w:val="none"/>
              </w:rPr>
            </w:pPr>
            <w:r>
              <w:rPr>
                <w:rFonts w:ascii="仿宋" w:hAnsi="仿宋" w:eastAsia="仿宋"/>
                <w:b/>
                <w:bCs/>
                <w:szCs w:val="21"/>
                <w:highlight w:val="none"/>
              </w:rPr>
              <w:t>A份额简称：“华夏理财固收纯债封闭式325号182天（元宵专属）A”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B份额简称：“华夏理财固收纯债封闭式325号182天（元宵专属）B”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C份额简称：“华夏理财固收纯债封闭式325号182天（元宵专属）C”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D份额简称：“华夏理财固收纯债封闭式325号182天（元宵专属）D”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E份额简称：“华夏理财固收纯债封闭式325号182天（元宵专属）E”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H份额简称：“华夏理财固收纯债封闭式325号182天（元宵专属）H”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rFonts w:hint="default" w:eastAsia="仿宋"/>
                <w:highlight w:val="none"/>
                <w:lang w:val="en-US" w:eastAsia="zh-CN"/>
              </w:rPr>
            </w:pPr>
            <w:r>
              <w:rPr>
                <w:rFonts w:ascii="仿宋" w:hAnsi="仿宋" w:eastAsia="仿宋"/>
                <w:bCs/>
                <w:szCs w:val="21"/>
                <w:highlight w:val="none"/>
                <w:u w:val="none"/>
              </w:rPr>
              <w:t>26111020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rFonts w:hint="eastAsia" w:ascii="仿宋" w:hAnsi="仿宋" w:eastAsia="仿宋"/>
                <w:bCs/>
                <w:szCs w:val="21"/>
                <w:highlight w:val="none"/>
              </w:rPr>
            </w:pPr>
            <w:r>
              <w:rPr>
                <w:rFonts w:ascii="仿宋" w:hAnsi="仿宋" w:eastAsia="仿宋"/>
                <w:bCs/>
                <w:szCs w:val="21"/>
                <w:highlight w:val="none"/>
                <w:u w:val="none"/>
              </w:rPr>
              <w:t>A份额代码：26111020A</w:t>
            </w:r>
            <w:r>
              <w:rPr>
                <w:rFonts w:ascii="仿宋" w:hAnsi="仿宋" w:eastAsia="仿宋"/>
                <w:bCs/>
                <w:szCs w:val="21"/>
                <w:highlight w:val="none"/>
                <w:u w:val="none"/>
              </w:rPr>
              <w:br w:type="textWrapping"/>
            </w:r>
            <w:r>
              <w:rPr>
                <w:rFonts w:ascii="仿宋" w:hAnsi="仿宋" w:eastAsia="仿宋"/>
                <w:bCs/>
                <w:szCs w:val="21"/>
                <w:highlight w:val="none"/>
                <w:u w:val="none"/>
              </w:rPr>
              <w:t>B份额代码：26111020B</w:t>
            </w:r>
            <w:r>
              <w:rPr>
                <w:rFonts w:ascii="仿宋" w:hAnsi="仿宋" w:eastAsia="仿宋"/>
                <w:bCs/>
                <w:szCs w:val="21"/>
                <w:highlight w:val="none"/>
                <w:u w:val="none"/>
              </w:rPr>
              <w:br w:type="textWrapping"/>
            </w:r>
            <w:r>
              <w:rPr>
                <w:rFonts w:ascii="仿宋" w:hAnsi="仿宋" w:eastAsia="仿宋"/>
                <w:bCs/>
                <w:szCs w:val="21"/>
                <w:highlight w:val="none"/>
                <w:u w:val="none"/>
              </w:rPr>
              <w:t>C份额代码：26111020C</w:t>
            </w:r>
            <w:r>
              <w:rPr>
                <w:rFonts w:ascii="仿宋" w:hAnsi="仿宋" w:eastAsia="仿宋"/>
                <w:bCs/>
                <w:szCs w:val="21"/>
                <w:highlight w:val="none"/>
                <w:u w:val="none"/>
              </w:rPr>
              <w:br w:type="textWrapping"/>
            </w:r>
            <w:r>
              <w:rPr>
                <w:rFonts w:ascii="仿宋" w:hAnsi="仿宋" w:eastAsia="仿宋"/>
                <w:bCs/>
                <w:szCs w:val="21"/>
                <w:highlight w:val="none"/>
                <w:u w:val="none"/>
              </w:rPr>
              <w:t>D份额代码：26111020D</w:t>
            </w:r>
            <w:r>
              <w:rPr>
                <w:rFonts w:ascii="仿宋" w:hAnsi="仿宋" w:eastAsia="仿宋"/>
                <w:bCs/>
                <w:szCs w:val="21"/>
                <w:highlight w:val="none"/>
                <w:u w:val="none"/>
              </w:rPr>
              <w:br w:type="textWrapping"/>
            </w:r>
            <w:r>
              <w:rPr>
                <w:rFonts w:ascii="仿宋" w:hAnsi="仿宋" w:eastAsia="仿宋"/>
                <w:bCs/>
                <w:szCs w:val="21"/>
                <w:highlight w:val="none"/>
                <w:u w:val="none"/>
              </w:rPr>
              <w:t>E份额代码：26111020E</w:t>
            </w:r>
            <w:r>
              <w:rPr>
                <w:rFonts w:ascii="仿宋" w:hAnsi="仿宋" w:eastAsia="仿宋"/>
                <w:bCs/>
                <w:szCs w:val="21"/>
                <w:highlight w:val="none"/>
                <w:u w:val="none"/>
              </w:rPr>
              <w:br w:type="textWrapping"/>
            </w:r>
            <w:r>
              <w:rPr>
                <w:rFonts w:ascii="仿宋" w:hAnsi="仿宋" w:eastAsia="仿宋"/>
                <w:bCs/>
                <w:szCs w:val="21"/>
                <w:highlight w:val="none"/>
                <w:u w:val="none"/>
              </w:rPr>
              <w:t>H份额代码：26111020H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spacing w:line="300" w:lineRule="exact"/>
              <w:jc w:val="center"/>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ascii="仿宋" w:hAnsi="仿宋" w:eastAsia="仿宋"/>
                <w:bCs/>
                <w:szCs w:val="21"/>
                <w:highlight w:val="none"/>
                <w:u w:val="none"/>
              </w:rPr>
              <w:t>Z7003926000182</w:t>
            </w:r>
          </w:p>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240" w:lineRule="atLeast"/>
              <w:jc w:val="center"/>
              <w:rPr>
                <w:rFonts w:ascii="仿宋" w:hAnsi="仿宋" w:eastAsia="仿宋"/>
                <w:bCs/>
                <w:szCs w:val="21"/>
                <w:highlight w:val="none"/>
              </w:rPr>
            </w:pPr>
            <w:r>
              <w:rPr>
                <w:rFonts w:hint="eastAsia" w:ascii="仿宋" w:hAnsi="仿宋" w:eastAsia="仿宋"/>
                <w:bCs/>
                <w:szCs w:val="21"/>
                <w:highlight w:val="none"/>
              </w:rPr>
              <w:t>产品管理人</w:t>
            </w:r>
          </w:p>
          <w:p>
            <w:pPr>
              <w:spacing w:line="240" w:lineRule="atLeast"/>
              <w:jc w:val="center"/>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华夏理财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jc w:val="center"/>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Next w:val="0"/>
              <w:keepLines w:val="0"/>
              <w:pageBreakBefore w:val="0"/>
              <w:widowControl w:val="0"/>
              <w:bidi w:val="0"/>
              <w:spacing w:line="300" w:lineRule="atLeast"/>
              <w:ind w:firstLine="422"/>
              <w:jc w:val="both"/>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both"/>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ind w:firstLine="420"/>
              <w:jc w:val="both"/>
              <w:rPr>
                <w:rFonts w:ascii="仿宋" w:hAnsi="仿宋" w:eastAsia="仿宋"/>
                <w:bCs/>
                <w:szCs w:val="21"/>
                <w:highlight w:val="none"/>
              </w:rPr>
            </w:pPr>
            <w:r>
              <w:rPr>
                <w:rFonts w:hint="eastAsia" w:ascii="仿宋" w:hAnsi="仿宋" w:eastAsia="仿宋"/>
                <w:bCs/>
                <w:szCs w:val="21"/>
                <w:highlight w:val="none"/>
              </w:rPr>
              <w:t>本理财产品面向不特定社会公众销售，经华夏理财风险评估评定为</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的个人投资者。客户风险承受能力评级类型分为：CR1（谨慎型）、CR2（稳健型）、CR3（平衡型）、CR4（进取型）、CR5（激进型）。</w:t>
            </w:r>
            <w:r>
              <w:rPr>
                <w:rFonts w:hint="eastAsia" w:ascii="仿宋" w:hAnsi="仿宋" w:eastAsia="仿宋"/>
                <w:bCs/>
                <w:szCs w:val="21"/>
                <w:highlight w:val="none"/>
              </w:rPr>
              <w:br w:type="textWrapping"/>
            </w:r>
            <w:r>
              <w:rPr>
                <w:rFonts w:hint="eastAsia" w:ascii="仿宋" w:hAnsi="仿宋" w:eastAsia="仿宋"/>
                <w:bCs/>
                <w:szCs w:val="21"/>
                <w:highlight w:val="none"/>
              </w:rPr>
              <w:t xml:space="preserve">    本理财产品面向不特定社会公众销售，包括法人或依法成立的其他组织。</w:t>
            </w:r>
          </w:p>
          <w:p>
            <w:pPr>
              <w:keepNext w:val="0"/>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Next w:val="0"/>
              <w:keepLines w:val="0"/>
              <w:pageBreakBefore w:val="0"/>
              <w:widowControl w:val="0"/>
              <w:bidi w:val="0"/>
              <w:spacing w:line="300" w:lineRule="atLeast"/>
              <w:ind w:firstLine="422"/>
              <w:jc w:val="both"/>
              <w:rPr>
                <w:rFonts w:hint="eastAsia" w:ascii="仿宋" w:hAnsi="仿宋" w:eastAsia="仿宋"/>
                <w:b/>
                <w:bCs/>
                <w:szCs w:val="21"/>
                <w:highlight w:val="none"/>
              </w:rPr>
            </w:pPr>
            <w:r>
              <w:rPr>
                <w:rFonts w:hint="eastAsia" w:ascii="仿宋" w:hAnsi="仿宋" w:eastAsia="仿宋"/>
                <w:b/>
                <w:bCs/>
                <w:szCs w:val="21"/>
                <w:highlight w:val="none"/>
              </w:rPr>
              <w:t>华夏理财/代销机构根据</w:t>
            </w:r>
            <w:r>
              <w:rPr>
                <w:rFonts w:hint="eastAsia" w:ascii="仿宋" w:hAnsi="仿宋" w:eastAsia="仿宋"/>
                <w:b/>
                <w:bCs/>
                <w:color w:val="000000"/>
                <w:szCs w:val="21"/>
                <w:highlight w:val="none"/>
              </w:rPr>
              <w:t>非机构</w:t>
            </w:r>
            <w:r>
              <w:rPr>
                <w:rFonts w:hint="eastAsia" w:ascii="仿宋" w:hAnsi="仿宋" w:eastAsia="仿宋"/>
                <w:b/>
                <w:bCs/>
                <w:szCs w:val="21"/>
                <w:highlight w:val="none"/>
              </w:rPr>
              <w:t>投资者自身提供的信息评估</w:t>
            </w:r>
            <w:r>
              <w:rPr>
                <w:rFonts w:hint="eastAsia" w:ascii="仿宋" w:hAnsi="仿宋" w:eastAsia="仿宋"/>
                <w:b/>
                <w:bCs/>
                <w:color w:val="000000"/>
                <w:szCs w:val="21"/>
                <w:highlight w:val="none"/>
              </w:rPr>
              <w:t>非机构</w:t>
            </w:r>
            <w:r>
              <w:rPr>
                <w:rFonts w:hint="eastAsia" w:ascii="仿宋" w:hAnsi="仿宋" w:eastAsia="仿宋"/>
                <w:b/>
                <w:bCs/>
                <w:szCs w:val="21"/>
                <w:highlight w:val="none"/>
              </w:rPr>
              <w:t>投资者风险承受能力，因</w:t>
            </w:r>
            <w:r>
              <w:rPr>
                <w:rFonts w:hint="eastAsia" w:ascii="仿宋" w:hAnsi="仿宋" w:eastAsia="仿宋"/>
                <w:b/>
                <w:bCs/>
                <w:color w:val="000000"/>
                <w:szCs w:val="21"/>
                <w:highlight w:val="none"/>
              </w:rPr>
              <w:t>非机构</w:t>
            </w:r>
            <w:r>
              <w:rPr>
                <w:rFonts w:hint="eastAsia" w:ascii="仿宋" w:hAnsi="仿宋" w:eastAsia="仿宋"/>
                <w:b/>
                <w:bCs/>
                <w:szCs w:val="21"/>
                <w:highlight w:val="none"/>
              </w:rPr>
              <w:t>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w:t>
            </w:r>
          </w:p>
          <w:p>
            <w:pPr>
              <w:keepNext w:val="0"/>
              <w:keepLines w:val="0"/>
              <w:pageBreakBefore w:val="0"/>
              <w:widowControl w:val="0"/>
              <w:bidi w:val="0"/>
              <w:spacing w:line="300" w:lineRule="atLeast"/>
              <w:ind w:firstLine="420"/>
              <w:jc w:val="both"/>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2.00%（年化）；E份额：业绩比较基准为2.05%（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bidi w:val="0"/>
              <w:spacing w:line="300" w:lineRule="atLeast"/>
              <w:ind w:firstLine="420"/>
              <w:jc w:val="both"/>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业绩比较基准是管理人基于产品性质、投资策略、过往经验等因素对产品设定的投资目标，不是预期收益率，不代表产品的未来表现和实际收益，不构成对产品收益的承诺。</w:t>
            </w:r>
          </w:p>
          <w:p>
            <w:pPr>
              <w:keepLines w:val="0"/>
              <w:pageBreakBefore w:val="0"/>
              <w:widowControl w:val="0"/>
              <w:bidi w:val="0"/>
              <w:spacing w:line="300" w:lineRule="atLeast"/>
              <w:ind w:firstLine="420"/>
              <w:jc w:val="both"/>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bidi w:val="0"/>
              <w:spacing w:line="300" w:lineRule="atLeast"/>
              <w:ind w:firstLine="422"/>
              <w:jc w:val="both"/>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bidi w:val="0"/>
              <w:spacing w:line="300" w:lineRule="atLeast"/>
              <w:ind w:firstLine="422"/>
              <w:jc w:val="both"/>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bidi w:val="0"/>
              <w:spacing w:line="300" w:lineRule="atLeast"/>
              <w:ind w:firstLine="422"/>
              <w:jc w:val="both"/>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spacing w:line="300" w:lineRule="exact"/>
              <w:jc w:val="center"/>
              <w:rPr>
                <w:highlight w:val="none"/>
              </w:rPr>
            </w:pPr>
            <w:bookmarkStart w:id="1" w:name="OLE_LINK2"/>
            <w:bookmarkStart w:id="2" w:name="OLE_LINK3"/>
            <w:bookmarkStart w:id="3" w:name="_Hlk29029416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color w:val="000000"/>
                <w:szCs w:val="21"/>
                <w:highlight w:val="none"/>
                <w:u w:val="none"/>
              </w:rPr>
              <w:t>2026年2月24日</w:t>
            </w:r>
            <w:r>
              <w:rPr>
                <w:rFonts w:hint="eastAsia" w:ascii="仿宋" w:hAnsi="仿宋" w:eastAsia="仿宋"/>
                <w:bCs/>
                <w:szCs w:val="21"/>
                <w:highlight w:val="none"/>
              </w:rPr>
              <w:t>－</w:t>
            </w:r>
            <w:r>
              <w:rPr>
                <w:rFonts w:hint="eastAsia" w:ascii="仿宋" w:hAnsi="仿宋" w:eastAsia="仿宋"/>
                <w:bCs/>
                <w:szCs w:val="21"/>
                <w:highlight w:val="none"/>
              </w:rPr>
              <w:t>2026年3月2日</w:t>
            </w:r>
            <w:r>
              <w:rPr>
                <w:rFonts w:hint="eastAsia" w:ascii="仿宋" w:hAnsi="仿宋" w:eastAsia="仿宋"/>
                <w:bCs/>
                <w:szCs w:val="21"/>
                <w:highlight w:val="none"/>
              </w:rPr>
              <w:t>（含）</w:t>
            </w:r>
          </w:p>
          <w:p>
            <w:pPr>
              <w:keepNext/>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rPr>
                <w:highlight w:val="none"/>
              </w:rPr>
            </w:pPr>
            <w:r>
              <w:rPr>
                <w:rFonts w:hint="eastAsia" w:ascii="仿宋" w:hAnsi="仿宋" w:eastAsia="仿宋"/>
                <w:bCs/>
                <w:color w:val="000000"/>
                <w:szCs w:val="21"/>
                <w:highlight w:val="none"/>
                <w:u w:val="none"/>
              </w:rPr>
              <w:t>2026年3月3日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rPr>
                <w:rFonts w:hint="eastAsia" w:eastAsia="仿宋"/>
                <w:highlight w:val="none"/>
                <w:lang w:val="en-US" w:eastAsia="zh-CN"/>
              </w:rPr>
            </w:pPr>
            <w:r>
              <w:rPr>
                <w:rFonts w:hint="eastAsia" w:ascii="仿宋" w:hAnsi="仿宋" w:eastAsia="仿宋"/>
                <w:bCs/>
                <w:color w:val="000000"/>
                <w:szCs w:val="21"/>
                <w:highlight w:val="none"/>
                <w:u w:val="none"/>
              </w:rPr>
              <w:t>182</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color w:val="000000"/>
                <w:szCs w:val="21"/>
                <w:highlight w:val="none"/>
                <w:u w:val="none"/>
              </w:rPr>
              <w:t>2026年9月1日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bidi w:val="0"/>
              <w:spacing w:line="300" w:lineRule="atLeast"/>
              <w:ind w:firstLine="422"/>
              <w:jc w:val="both"/>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bidi w:val="0"/>
              <w:spacing w:line="300" w:lineRule="atLeast"/>
              <w:ind w:firstLine="420"/>
              <w:jc w:val="left"/>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2"/>
              <w:jc w:val="both"/>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华夏理财无法或者经其合理判断难以按照本产品说明书向投资者提供本理财产品；或者法律法规、监管规定、国家政策发生变化导致无法按照本产品说明书向投资者提供本理财产品，华夏理财有权宣布本理财产品不成立。</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。通过华夏银行/华夏理财购买的，将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华夏银行/华夏理财客户的理财签约</w:t>
            </w:r>
            <w:r>
              <w:rPr>
                <w:rFonts w:ascii="仿宋" w:hAnsi="仿宋" w:eastAsia="仿宋"/>
                <w:bCs/>
                <w:szCs w:val="21"/>
                <w:highlight w:val="none"/>
              </w:rPr>
              <w:t>账户</w:t>
            </w:r>
            <w:r>
              <w:rPr>
                <w:rFonts w:hint="eastAsia" w:ascii="仿宋" w:hAnsi="仿宋" w:eastAsia="仿宋"/>
                <w:bCs/>
                <w:szCs w:val="21"/>
                <w:highlight w:val="none"/>
              </w:rPr>
              <w:t>（</w:t>
            </w:r>
            <w:r>
              <w:rPr>
                <w:rFonts w:hint="eastAsia" w:ascii="仿宋" w:hAnsi="仿宋" w:eastAsia="仿宋"/>
                <w:b/>
                <w:szCs w:val="21"/>
                <w:highlight w:val="none"/>
              </w:rPr>
              <w:t>原定</w:t>
            </w:r>
            <w:r>
              <w:rPr>
                <w:rFonts w:ascii="仿宋" w:hAnsi="仿宋" w:eastAsia="仿宋"/>
                <w:b/>
                <w:szCs w:val="21"/>
                <w:highlight w:val="none"/>
              </w:rPr>
              <w:t>成立日至资金到账日之间</w:t>
            </w:r>
            <w:r>
              <w:rPr>
                <w:rFonts w:hint="eastAsia" w:ascii="仿宋" w:hAnsi="仿宋" w:eastAsia="仿宋"/>
                <w:b/>
                <w:szCs w:val="21"/>
                <w:highlight w:val="none"/>
              </w:rPr>
              <w:t>不计</w:t>
            </w:r>
            <w:r>
              <w:rPr>
                <w:rFonts w:ascii="仿宋" w:hAnsi="仿宋" w:eastAsia="仿宋"/>
                <w:b/>
                <w:szCs w:val="21"/>
                <w:highlight w:val="none"/>
              </w:rPr>
              <w:t>利息</w:t>
            </w: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如代销机构规定与本规则不一致的，则以各代销机构规定为准，但不得低于本起点金额。</w:t>
            </w:r>
          </w:p>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bidi w:val="0"/>
              <w:spacing w:line="300" w:lineRule="atLeast"/>
              <w:ind w:firstLine="420"/>
              <w:jc w:val="both"/>
              <w:rPr>
                <w:highlight w:val="none"/>
              </w:rPr>
            </w:pPr>
            <w:r>
              <w:rPr>
                <w:rFonts w:hint="eastAsia" w:ascii="仿宋" w:hAnsi="仿宋" w:eastAsia="仿宋"/>
                <w:highlight w:val="none"/>
              </w:rPr>
              <w:t>如代销机构规定与本规则不一致的，则以各代销机构规定为准，但不得</w:t>
            </w:r>
            <w:r>
              <w:rPr>
                <w:rFonts w:hint="eastAsia" w:ascii="仿宋" w:hAnsi="仿宋" w:eastAsia="仿宋"/>
                <w:bCs/>
                <w:szCs w:val="21"/>
                <w:highlight w:val="none"/>
              </w:rPr>
              <w:t>高于最高金额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spacing w:line="300" w:lineRule="exact"/>
              <w:jc w:val="center"/>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bidi w:val="0"/>
              <w:spacing w:line="300" w:lineRule="atLeast"/>
              <w:ind w:firstLine="420"/>
              <w:jc w:val="both"/>
              <w:rPr>
                <w:highlight w:val="none"/>
              </w:rPr>
            </w:pPr>
            <w:r>
              <w:rPr>
                <w:rFonts w:hint="eastAsia" w:ascii="仿宋" w:hAnsi="仿宋" w:eastAsia="仿宋"/>
                <w:highlight w:val="none"/>
              </w:rPr>
              <w:t>如代销机构规定与本规则不一致，则以各代销机构规定为准，但不得低于本追加起点金额。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jc w:val="center"/>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bidi w:val="0"/>
              <w:spacing w:line="300" w:lineRule="atLeast"/>
              <w:ind w:right="18" w:firstLine="420"/>
              <w:jc w:val="both"/>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bidi w:val="0"/>
              <w:spacing w:line="300" w:lineRule="atLeast"/>
              <w:ind w:firstLine="422"/>
              <w:jc w:val="both"/>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bidi w:val="0"/>
              <w:spacing w:line="300" w:lineRule="atLeast"/>
              <w:ind w:right="18" w:firstLine="420"/>
              <w:jc w:val="both"/>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bidi w:val="0"/>
              <w:spacing w:line="300" w:lineRule="atLeast"/>
              <w:ind w:left="199" w:firstLine="210"/>
              <w:jc w:val="both"/>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通过华夏理财自有销售渠道认购的，投资者撤销的本金在</w:t>
            </w:r>
            <w:r>
              <w:rPr>
                <w:rFonts w:hint="eastAsia" w:ascii="仿宋" w:hAnsi="仿宋" w:eastAsia="仿宋"/>
                <w:bCs/>
                <w:color w:val="000000"/>
                <w:szCs w:val="21"/>
                <w:highlight w:val="none"/>
                <w:u w:val="singl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）通过华夏银行认购的，投资者撤销的本金实时到账。</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4</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w:t>
            </w:r>
            <w:r>
              <w:rPr>
                <w:rFonts w:hint="eastAsia" w:ascii="仿宋" w:hAnsi="仿宋" w:eastAsia="仿宋"/>
                <w:bCs/>
                <w:szCs w:val="21"/>
                <w:highlight w:val="none"/>
                <w:u w:val="single"/>
                <w:lang w:val="en-US" w:eastAsia="zh-CN"/>
              </w:rPr>
              <w:t>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5</w:t>
            </w:r>
            <w:r>
              <w:rPr>
                <w:rFonts w:hint="eastAsia" w:ascii="仿宋" w:hAnsi="仿宋" w:eastAsia="仿宋"/>
                <w:bCs/>
                <w:szCs w:val="21"/>
                <w:highlight w:val="none"/>
              </w:rPr>
              <w:t>）通过华夏银行认购的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w:t>
            </w:r>
            <w:r>
              <w:rPr>
                <w:rFonts w:hint="eastAsia" w:ascii="仿宋" w:hAnsi="仿宋" w:eastAsia="仿宋"/>
                <w:bCs/>
                <w:szCs w:val="21"/>
                <w:highlight w:val="none"/>
                <w:u w:val="single"/>
                <w:lang w:val="en-US" w:eastAsia="zh-CN"/>
              </w:rPr>
              <w:t>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6</w:t>
            </w:r>
            <w:r>
              <w:rPr>
                <w:rFonts w:hint="eastAsia" w:ascii="仿宋" w:hAnsi="仿宋" w:eastAsia="仿宋"/>
                <w:bCs/>
                <w:szCs w:val="21"/>
                <w:highlight w:val="none"/>
                <w:lang w:eastAsia="zh-CN"/>
              </w:rPr>
              <w:t>）</w:t>
            </w:r>
            <w:r>
              <w:rPr>
                <w:rFonts w:hint="eastAsia" w:ascii="仿宋" w:hAnsi="仿宋" w:eastAsia="仿宋"/>
                <w:bCs/>
                <w:szCs w:val="21"/>
                <w:highlight w:val="none"/>
              </w:rPr>
              <w:t>通过代销机构认购的，撤销规定以代销机构规定为准。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bidi w:val="0"/>
              <w:spacing w:line="300" w:lineRule="atLeast"/>
              <w:ind w:firstLine="420"/>
              <w:jc w:val="both"/>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2"/>
              <w:jc w:val="both"/>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bidi w:val="0"/>
              <w:spacing w:line="300" w:lineRule="atLeast"/>
              <w:ind w:firstLine="422"/>
              <w:jc w:val="both"/>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bidi w:val="0"/>
              <w:spacing w:line="300" w:lineRule="atLeast"/>
              <w:ind w:firstLine="420"/>
              <w:jc w:val="both"/>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bidi w:val="0"/>
              <w:spacing w:line="300" w:lineRule="atLeast"/>
              <w:ind w:firstLine="420"/>
              <w:jc w:val="both"/>
              <w:rPr>
                <w:rFonts w:ascii="仿宋" w:hAnsi="仿宋" w:eastAsia="仿宋"/>
                <w:b/>
                <w:bCs w:val="0"/>
                <w:szCs w:val="21"/>
                <w:highlight w:val="none"/>
              </w:rPr>
            </w:pPr>
            <w:r>
              <w:rPr>
                <w:rFonts w:ascii="仿宋" w:hAnsi="仿宋" w:eastAsia="仿宋"/>
                <w:b/>
                <w:szCs w:val="21"/>
                <w:highlight w:val="none"/>
                <w:u w:val="none"/>
              </w:rPr>
              <w:t>本理财产品超额管理费的计算公式：</w:t>
            </w:r>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bidi w:val="0"/>
              <w:spacing w:line="300" w:lineRule="atLeast"/>
              <w:ind w:firstLine="420"/>
              <w:jc w:val="both"/>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jc w:val="center"/>
              <w:rPr>
                <w:highlight w:val="none"/>
              </w:rPr>
            </w:pPr>
            <w:r>
              <w:rPr>
                <w:rFonts w:hint="eastAsia" w:ascii="仿宋" w:hAnsi="仿宋" w:eastAsia="仿宋"/>
                <w:bCs/>
                <w:szCs w:val="21"/>
                <w:highlight w:val="none"/>
              </w:rPr>
              <w:t>份额净值公告日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产品到期/终止</w:t>
            </w:r>
            <w:r>
              <w:rPr>
                <w:rFonts w:ascii="仿宋" w:hAnsi="仿宋" w:eastAsia="仿宋"/>
                <w:bCs/>
                <w:szCs w:val="21"/>
                <w:highlight w:val="none"/>
              </w:rPr>
              <w:t>后的</w:t>
            </w:r>
            <w:r>
              <w:rPr>
                <w:rFonts w:hint="eastAsia" w:ascii="仿宋" w:hAnsi="仿宋" w:eastAsia="仿宋"/>
                <w:bCs/>
                <w:szCs w:val="21"/>
                <w:highlight w:val="none"/>
              </w:rPr>
              <w:t>第</w:t>
            </w:r>
            <w:r>
              <w:rPr>
                <w:rFonts w:hint="eastAsia" w:ascii="仿宋" w:hAnsi="仿宋" w:eastAsia="仿宋" w:cs="Cambria"/>
                <w:bCs/>
                <w:szCs w:val="21"/>
                <w:highlight w:val="none"/>
              </w:rPr>
              <w:t>2</w:t>
            </w:r>
            <w:r>
              <w:rPr>
                <w:rFonts w:hint="eastAsia" w:ascii="仿宋" w:hAnsi="仿宋" w:eastAsia="仿宋"/>
                <w:bCs/>
                <w:szCs w:val="21"/>
                <w:highlight w:val="none"/>
              </w:rPr>
              <w:t>个</w:t>
            </w:r>
            <w:r>
              <w:rPr>
                <w:rFonts w:ascii="仿宋" w:hAnsi="仿宋" w:eastAsia="仿宋"/>
                <w:bCs/>
                <w:szCs w:val="21"/>
                <w:highlight w:val="none"/>
              </w:rPr>
              <w:t>工作日为</w:t>
            </w:r>
            <w:r>
              <w:rPr>
                <w:rFonts w:hint="eastAsia" w:ascii="仿宋" w:hAnsi="仿宋" w:eastAsia="仿宋"/>
                <w:bCs/>
                <w:szCs w:val="21"/>
                <w:highlight w:val="none"/>
              </w:rPr>
              <w:t>份额净值</w:t>
            </w:r>
            <w:r>
              <w:rPr>
                <w:rFonts w:ascii="仿宋" w:hAnsi="仿宋" w:eastAsia="仿宋"/>
                <w:bCs/>
                <w:szCs w:val="21"/>
                <w:highlight w:val="none"/>
              </w:rPr>
              <w:t>公告日，</w:t>
            </w:r>
            <w:r>
              <w:rPr>
                <w:rFonts w:hint="eastAsia" w:ascii="仿宋" w:hAnsi="仿宋" w:eastAsia="仿宋"/>
                <w:bCs/>
                <w:szCs w:val="21"/>
                <w:highlight w:val="none"/>
              </w:rPr>
              <w:t>公告产品到期/终止</w:t>
            </w:r>
            <w:r>
              <w:rPr>
                <w:rFonts w:ascii="仿宋" w:hAnsi="仿宋" w:eastAsia="仿宋"/>
                <w:bCs/>
                <w:szCs w:val="21"/>
                <w:highlight w:val="none"/>
              </w:rPr>
              <w:t>日的</w:t>
            </w:r>
            <w:r>
              <w:rPr>
                <w:rFonts w:hint="eastAsia" w:ascii="仿宋" w:hAnsi="仿宋" w:eastAsia="仿宋"/>
                <w:bCs/>
                <w:szCs w:val="21"/>
                <w:highlight w:val="none"/>
              </w:rPr>
              <w:t>份额净值</w:t>
            </w:r>
            <w:r>
              <w:rPr>
                <w:rFonts w:ascii="仿宋" w:hAnsi="仿宋" w:eastAsia="仿宋"/>
                <w:bCs/>
                <w:szCs w:val="21"/>
                <w:highlight w:val="none"/>
              </w:rPr>
              <w:t>。</w:t>
            </w:r>
          </w:p>
          <w:p>
            <w:pPr>
              <w:keepLines w:val="0"/>
              <w:pageBreakBefore w:val="0"/>
              <w:widowControl w:val="0"/>
              <w:bidi w:val="0"/>
              <w:spacing w:line="300" w:lineRule="atLeast"/>
              <w:ind w:firstLine="422"/>
              <w:jc w:val="both"/>
              <w:rPr>
                <w:rFonts w:ascii="仿宋" w:hAnsi="仿宋" w:eastAsia="仿宋"/>
                <w:bCs/>
                <w:szCs w:val="21"/>
                <w:highlight w:val="none"/>
              </w:rPr>
            </w:pPr>
            <w:r>
              <w:rPr>
                <w:rFonts w:hint="eastAsia" w:ascii="仿宋" w:hAnsi="仿宋" w:eastAsia="仿宋"/>
                <w:b/>
                <w:bCs/>
                <w:szCs w:val="21"/>
                <w:highlight w:val="none"/>
              </w:rPr>
              <w:t>份额净值公告日中的工作日，指上海证券交易所和深圳证券交易所的交易日，且同时为银行对外办理一般对公业务的工作日。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right="-44" w:firstLine="420"/>
              <w:jc w:val="both"/>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bidi w:val="0"/>
              <w:spacing w:line="300" w:lineRule="atLeast"/>
              <w:ind w:right="-44" w:firstLine="420"/>
              <w:jc w:val="both"/>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right="-44" w:firstLine="420"/>
              <w:jc w:val="both"/>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bidi w:val="0"/>
              <w:spacing w:line="300" w:lineRule="atLeast"/>
              <w:ind w:firstLine="422"/>
              <w:jc w:val="both"/>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bidi w:val="0"/>
              <w:spacing w:line="300" w:lineRule="atLeast"/>
              <w:ind w:firstLine="420"/>
              <w:jc w:val="both"/>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①</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②</w:t>
            </w:r>
            <w:r>
              <w:rPr>
                <w:rFonts w:hint="eastAsia" w:ascii="仿宋" w:hAnsi="仿宋" w:eastAsia="仿宋"/>
                <w:bCs/>
                <w:szCs w:val="21"/>
                <w:highlight w:val="none"/>
              </w:rPr>
              <w:t>市场收益率大幅波动，可能或实质影响到产品所能实现的投资收益；</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③</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cs="宋体"/>
                <w:bCs/>
                <w:szCs w:val="21"/>
                <w:highlight w:val="none"/>
              </w:rPr>
              <w:t>④</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bidi w:val="0"/>
              <w:spacing w:line="300" w:lineRule="atLeast"/>
              <w:ind w:firstLine="420"/>
              <w:jc w:val="both"/>
              <w:rPr>
                <w:rFonts w:ascii="仿宋" w:hAnsi="仿宋" w:eastAsia="仿宋" w:cs="宋体"/>
                <w:szCs w:val="21"/>
                <w:highlight w:val="none"/>
              </w:rPr>
            </w:pPr>
            <w:r>
              <w:rPr>
                <w:rFonts w:ascii="仿宋" w:hAnsi="仿宋" w:eastAsia="仿宋"/>
                <w:bCs/>
                <w:szCs w:val="21"/>
                <w:highlight w:val="none"/>
              </w:rPr>
              <w:t>（1</w:t>
            </w:r>
            <w:r>
              <w:rPr>
                <w:rFonts w:hint="eastAsia" w:ascii="仿宋" w:hAnsi="仿宋" w:eastAsia="仿宋"/>
                <w:bCs/>
                <w:szCs w:val="21"/>
                <w:highlight w:val="none"/>
              </w:rPr>
              <w:t>）</w:t>
            </w:r>
            <w:r>
              <w:rPr>
                <w:rFonts w:hint="eastAsia" w:ascii="仿宋" w:hAnsi="仿宋" w:eastAsia="仿宋" w:cs="宋体"/>
                <w:szCs w:val="21"/>
                <w:highlight w:val="none"/>
              </w:rPr>
              <w:t>由华夏理财销售的，募集期认购资金</w:t>
            </w:r>
            <w:r>
              <w:rPr>
                <w:rFonts w:ascii="仿宋" w:hAnsi="仿宋" w:eastAsia="仿宋" w:cs="宋体"/>
                <w:szCs w:val="21"/>
                <w:highlight w:val="none"/>
              </w:rPr>
              <w:t>计息规则</w:t>
            </w:r>
            <w:r>
              <w:rPr>
                <w:rFonts w:hint="eastAsia" w:ascii="仿宋" w:hAnsi="仿宋" w:eastAsia="仿宋" w:cs="宋体"/>
                <w:szCs w:val="21"/>
                <w:highlight w:val="none"/>
              </w:rPr>
              <w:t>以华夏理财渠道披露的理财</w:t>
            </w:r>
            <w:r>
              <w:rPr>
                <w:rFonts w:ascii="仿宋" w:hAnsi="仿宋" w:eastAsia="仿宋" w:cs="宋体"/>
                <w:szCs w:val="21"/>
                <w:highlight w:val="none"/>
              </w:rPr>
              <w:t>产品销售协议书</w:t>
            </w:r>
            <w:r>
              <w:rPr>
                <w:rFonts w:hint="eastAsia" w:ascii="仿宋" w:hAnsi="仿宋" w:eastAsia="仿宋" w:cs="宋体"/>
                <w:szCs w:val="21"/>
                <w:highlight w:val="none"/>
              </w:rPr>
              <w:t>约定为准。</w:t>
            </w:r>
          </w:p>
          <w:p>
            <w:pPr>
              <w:keepLines w:val="0"/>
              <w:pageBreakBefore w:val="0"/>
              <w:widowControl w:val="0"/>
              <w:bidi w:val="0"/>
              <w:spacing w:line="300" w:lineRule="atLeast"/>
              <w:ind w:firstLine="420"/>
              <w:jc w:val="both"/>
              <w:rPr>
                <w:rFonts w:ascii="仿宋" w:hAnsi="仿宋" w:eastAsia="仿宋" w:cs="宋体"/>
                <w:szCs w:val="21"/>
                <w:highlight w:val="none"/>
              </w:rPr>
            </w:pPr>
            <w:r>
              <w:rPr>
                <w:rFonts w:ascii="仿宋" w:hAnsi="仿宋" w:eastAsia="仿宋"/>
                <w:bCs/>
                <w:szCs w:val="21"/>
                <w:highlight w:val="none"/>
              </w:rPr>
              <w:t>（2</w:t>
            </w:r>
            <w:r>
              <w:rPr>
                <w:rFonts w:hint="eastAsia" w:ascii="仿宋" w:hAnsi="仿宋" w:eastAsia="仿宋"/>
                <w:bCs/>
                <w:szCs w:val="21"/>
                <w:highlight w:val="none"/>
              </w:rPr>
              <w:t>）</w:t>
            </w:r>
            <w:r>
              <w:rPr>
                <w:rFonts w:hint="eastAsia" w:ascii="仿宋" w:hAnsi="仿宋" w:eastAsia="仿宋" w:cs="宋体"/>
                <w:szCs w:val="21"/>
                <w:highlight w:val="none"/>
              </w:rPr>
              <w:t>由华夏银行销售的，募集期</w:t>
            </w:r>
            <w:r>
              <w:rPr>
                <w:rFonts w:ascii="仿宋" w:hAnsi="仿宋" w:eastAsia="仿宋" w:cs="宋体"/>
                <w:szCs w:val="21"/>
                <w:highlight w:val="none"/>
              </w:rPr>
              <w:t>认购申请日（含）至</w:t>
            </w:r>
            <w:r>
              <w:rPr>
                <w:rFonts w:hint="eastAsia" w:ascii="仿宋" w:hAnsi="仿宋" w:eastAsia="仿宋" w:cs="宋体"/>
                <w:szCs w:val="21"/>
                <w:highlight w:val="none"/>
              </w:rPr>
              <w:t>成立</w:t>
            </w:r>
            <w:r>
              <w:rPr>
                <w:rFonts w:ascii="仿宋" w:hAnsi="仿宋" w:eastAsia="仿宋" w:cs="宋体"/>
                <w:szCs w:val="21"/>
                <w:highlight w:val="none"/>
              </w:rPr>
              <w:t>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或认购</w:t>
            </w:r>
            <w:r>
              <w:rPr>
                <w:rFonts w:ascii="仿宋" w:hAnsi="仿宋" w:eastAsia="仿宋" w:cs="宋体"/>
                <w:szCs w:val="21"/>
                <w:highlight w:val="none"/>
              </w:rPr>
              <w:t>撤销日（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之间，</w:t>
            </w:r>
            <w:r>
              <w:rPr>
                <w:rFonts w:ascii="仿宋" w:hAnsi="仿宋" w:eastAsia="仿宋" w:cs="宋体"/>
                <w:szCs w:val="21"/>
                <w:highlight w:val="none"/>
              </w:rPr>
              <w:t>投资者</w:t>
            </w:r>
            <w:r>
              <w:rPr>
                <w:rFonts w:hint="eastAsia" w:ascii="仿宋" w:hAnsi="仿宋" w:eastAsia="仿宋" w:cs="宋体"/>
                <w:szCs w:val="21"/>
                <w:highlight w:val="none"/>
              </w:rPr>
              <w:t>认购</w:t>
            </w:r>
            <w:r>
              <w:rPr>
                <w:rFonts w:ascii="仿宋" w:hAnsi="仿宋" w:eastAsia="仿宋" w:cs="宋体"/>
                <w:szCs w:val="21"/>
                <w:highlight w:val="none"/>
              </w:rPr>
              <w:t>资金</w:t>
            </w:r>
            <w:r>
              <w:rPr>
                <w:rFonts w:hint="eastAsia" w:ascii="仿宋" w:hAnsi="仿宋" w:eastAsia="仿宋" w:cs="宋体"/>
                <w:szCs w:val="21"/>
                <w:highlight w:val="none"/>
              </w:rPr>
              <w:t>按期间每日挂牌</w:t>
            </w:r>
            <w:r>
              <w:rPr>
                <w:rFonts w:ascii="仿宋" w:hAnsi="仿宋" w:eastAsia="仿宋" w:cs="宋体"/>
                <w:szCs w:val="21"/>
                <w:highlight w:val="none"/>
              </w:rPr>
              <w:t>活期存款利率计</w:t>
            </w:r>
            <w:r>
              <w:rPr>
                <w:rFonts w:hint="eastAsia" w:ascii="仿宋" w:hAnsi="仿宋" w:eastAsia="仿宋" w:cs="宋体"/>
                <w:szCs w:val="21"/>
                <w:highlight w:val="none"/>
              </w:rPr>
              <w:t>算利</w:t>
            </w:r>
            <w:r>
              <w:rPr>
                <w:rFonts w:ascii="仿宋" w:hAnsi="仿宋" w:eastAsia="仿宋" w:cs="宋体"/>
                <w:szCs w:val="21"/>
                <w:highlight w:val="none"/>
              </w:rPr>
              <w:t>息，且该利息不计入认购本金</w:t>
            </w:r>
            <w:r>
              <w:rPr>
                <w:rFonts w:hint="eastAsia" w:ascii="仿宋" w:hAnsi="仿宋" w:eastAsia="仿宋" w:cs="宋体"/>
                <w:szCs w:val="21"/>
                <w:highlight w:val="none"/>
              </w:rPr>
              <w:t>。</w:t>
            </w:r>
          </w:p>
          <w:p>
            <w:pPr>
              <w:keepLines w:val="0"/>
              <w:pageBreakBefore w:val="0"/>
              <w:widowControl w:val="0"/>
              <w:bidi w:val="0"/>
              <w:spacing w:line="300" w:lineRule="atLeast"/>
              <w:ind w:firstLine="420"/>
              <w:jc w:val="both"/>
              <w:rPr>
                <w:rFonts w:ascii="仿宋" w:hAnsi="仿宋" w:eastAsia="仿宋" w:cs="宋体"/>
                <w:szCs w:val="21"/>
                <w:highlight w:val="none"/>
              </w:rPr>
            </w:pPr>
            <w:r>
              <w:rPr>
                <w:rFonts w:ascii="仿宋" w:hAnsi="仿宋" w:eastAsia="仿宋"/>
                <w:bCs/>
                <w:szCs w:val="21"/>
                <w:highlight w:val="none"/>
              </w:rPr>
              <w:t>（3</w:t>
            </w:r>
            <w:r>
              <w:rPr>
                <w:rFonts w:hint="eastAsia" w:ascii="仿宋" w:hAnsi="仿宋" w:eastAsia="仿宋"/>
                <w:bCs/>
                <w:szCs w:val="21"/>
                <w:highlight w:val="none"/>
              </w:rPr>
              <w:t>）</w:t>
            </w:r>
            <w:r>
              <w:rPr>
                <w:rFonts w:hint="eastAsia" w:ascii="仿宋" w:hAnsi="仿宋" w:eastAsia="仿宋" w:cs="宋体"/>
                <w:szCs w:val="21"/>
                <w:highlight w:val="none"/>
              </w:rPr>
              <w:t>由</w:t>
            </w:r>
            <w:r>
              <w:rPr>
                <w:rFonts w:ascii="仿宋" w:hAnsi="仿宋" w:eastAsia="仿宋" w:cs="宋体"/>
                <w:szCs w:val="21"/>
                <w:highlight w:val="none"/>
              </w:rPr>
              <w:t>代销机构</w:t>
            </w:r>
            <w:r>
              <w:rPr>
                <w:rFonts w:hint="eastAsia" w:ascii="仿宋" w:hAnsi="仿宋" w:eastAsia="仿宋" w:cs="宋体"/>
                <w:szCs w:val="21"/>
                <w:highlight w:val="none"/>
              </w:rPr>
              <w:t>销售</w:t>
            </w:r>
            <w:r>
              <w:rPr>
                <w:rFonts w:ascii="仿宋" w:hAnsi="仿宋" w:eastAsia="仿宋" w:cs="宋体"/>
                <w:szCs w:val="21"/>
                <w:highlight w:val="none"/>
              </w:rPr>
              <w:t>的，</w:t>
            </w:r>
            <w:r>
              <w:rPr>
                <w:rFonts w:hint="eastAsia" w:ascii="仿宋" w:hAnsi="仿宋" w:eastAsia="仿宋" w:cs="宋体"/>
                <w:szCs w:val="21"/>
                <w:highlight w:val="none"/>
              </w:rPr>
              <w:t>募集期</w:t>
            </w:r>
            <w:r>
              <w:rPr>
                <w:rFonts w:ascii="仿宋" w:hAnsi="仿宋" w:eastAsia="仿宋" w:cs="宋体"/>
                <w:szCs w:val="21"/>
                <w:highlight w:val="none"/>
              </w:rPr>
              <w:t>认购申请日（含）至</w:t>
            </w:r>
            <w:r>
              <w:rPr>
                <w:rFonts w:hint="eastAsia" w:ascii="仿宋" w:hAnsi="仿宋" w:eastAsia="仿宋" w:cs="宋体"/>
                <w:szCs w:val="21"/>
                <w:highlight w:val="none"/>
              </w:rPr>
              <w:t>成立</w:t>
            </w:r>
            <w:r>
              <w:rPr>
                <w:rFonts w:ascii="仿宋" w:hAnsi="仿宋" w:eastAsia="仿宋" w:cs="宋体"/>
                <w:szCs w:val="21"/>
                <w:highlight w:val="none"/>
              </w:rPr>
              <w:t>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或认购</w:t>
            </w:r>
            <w:r>
              <w:rPr>
                <w:rFonts w:ascii="仿宋" w:hAnsi="仿宋" w:eastAsia="仿宋" w:cs="宋体"/>
                <w:szCs w:val="21"/>
                <w:highlight w:val="none"/>
              </w:rPr>
              <w:t>撤销日（</w:t>
            </w:r>
            <w:r>
              <w:rPr>
                <w:rFonts w:hint="eastAsia" w:ascii="仿宋" w:hAnsi="仿宋" w:eastAsia="仿宋" w:cs="宋体"/>
                <w:szCs w:val="21"/>
                <w:highlight w:val="none"/>
              </w:rPr>
              <w:t>不含</w:t>
            </w:r>
            <w:r>
              <w:rPr>
                <w:rFonts w:ascii="仿宋" w:hAnsi="仿宋" w:eastAsia="仿宋" w:cs="宋体"/>
                <w:szCs w:val="21"/>
                <w:highlight w:val="none"/>
              </w:rPr>
              <w:t>）</w:t>
            </w:r>
            <w:r>
              <w:rPr>
                <w:rFonts w:hint="eastAsia" w:ascii="仿宋" w:hAnsi="仿宋" w:eastAsia="仿宋" w:cs="宋体"/>
                <w:szCs w:val="21"/>
                <w:highlight w:val="none"/>
              </w:rPr>
              <w:t>之间，</w:t>
            </w:r>
            <w:r>
              <w:rPr>
                <w:rFonts w:ascii="仿宋" w:hAnsi="仿宋" w:eastAsia="仿宋" w:cs="宋体"/>
                <w:szCs w:val="21"/>
                <w:highlight w:val="none"/>
              </w:rPr>
              <w:t>投资者</w:t>
            </w:r>
            <w:r>
              <w:rPr>
                <w:rFonts w:hint="eastAsia" w:ascii="仿宋" w:hAnsi="仿宋" w:eastAsia="仿宋" w:cs="宋体"/>
                <w:szCs w:val="21"/>
                <w:highlight w:val="none"/>
              </w:rPr>
              <w:t>认购</w:t>
            </w:r>
            <w:r>
              <w:rPr>
                <w:rFonts w:ascii="仿宋" w:hAnsi="仿宋" w:eastAsia="仿宋" w:cs="宋体"/>
                <w:szCs w:val="21"/>
                <w:highlight w:val="none"/>
              </w:rPr>
              <w:t>资金按照代销机构</w:t>
            </w:r>
            <w:r>
              <w:rPr>
                <w:rFonts w:hint="eastAsia" w:ascii="仿宋" w:hAnsi="仿宋" w:eastAsia="仿宋" w:cs="宋体"/>
                <w:szCs w:val="21"/>
                <w:highlight w:val="none"/>
              </w:rPr>
              <w:t>与</w:t>
            </w:r>
            <w:r>
              <w:rPr>
                <w:rFonts w:ascii="仿宋" w:hAnsi="仿宋" w:eastAsia="仿宋" w:cs="宋体"/>
                <w:szCs w:val="21"/>
                <w:highlight w:val="none"/>
              </w:rPr>
              <w:t>投资人约定的</w:t>
            </w:r>
            <w:r>
              <w:rPr>
                <w:rFonts w:hint="eastAsia" w:ascii="仿宋" w:hAnsi="仿宋" w:eastAsia="仿宋" w:cs="宋体"/>
                <w:szCs w:val="21"/>
                <w:highlight w:val="none"/>
              </w:rPr>
              <w:t>计息方式执行</w:t>
            </w:r>
            <w:r>
              <w:rPr>
                <w:rFonts w:ascii="仿宋" w:hAnsi="仿宋" w:eastAsia="仿宋" w:cs="宋体"/>
                <w:szCs w:val="21"/>
                <w:highlight w:val="none"/>
              </w:rPr>
              <w:t>。</w:t>
            </w:r>
          </w:p>
          <w:p>
            <w:pPr>
              <w:keepLines w:val="0"/>
              <w:pageBreakBefore w:val="0"/>
              <w:widowControl w:val="0"/>
              <w:bidi w:val="0"/>
              <w:spacing w:line="300" w:lineRule="atLeast"/>
              <w:ind w:firstLine="420"/>
              <w:jc w:val="both"/>
              <w:rPr>
                <w:highlight w:val="none"/>
              </w:rPr>
            </w:pPr>
            <w:r>
              <w:rPr>
                <w:rFonts w:ascii="仿宋" w:hAnsi="仿宋" w:eastAsia="仿宋"/>
                <w:bCs/>
                <w:szCs w:val="21"/>
                <w:highlight w:val="none"/>
              </w:rPr>
              <w:t>（4</w:t>
            </w:r>
            <w:r>
              <w:rPr>
                <w:rFonts w:hint="eastAsia" w:ascii="仿宋" w:hAnsi="仿宋" w:eastAsia="仿宋"/>
                <w:bCs/>
                <w:szCs w:val="21"/>
                <w:highlight w:val="none"/>
              </w:rPr>
              <w:t>）</w:t>
            </w:r>
            <w:r>
              <w:rPr>
                <w:rFonts w:hint="eastAsia" w:ascii="仿宋" w:hAnsi="仿宋" w:eastAsia="仿宋" w:cs="宋体"/>
                <w:szCs w:val="21"/>
                <w:highlight w:val="none"/>
              </w:rPr>
              <w:t>理财产品到期/终止日（不含）至资金到账日（不含）之间，投资者资金不计存款利息及理财收益。</w:t>
            </w:r>
          </w:p>
        </w:tc>
      </w:tr>
    </w:tbl>
    <w:p>
      <w:pPr>
        <w:pStyle w:val="181"/>
        <w:spacing w:after="156" w:line="400" w:lineRule="exact"/>
        <w:ind w:firstLine="482"/>
        <w:jc w:val="both"/>
        <w:rPr>
          <w:rFonts w:ascii="Times New Roman" w:eastAsia="黑体" w:cs="Times New Roman"/>
          <w:b/>
          <w:color w:val="auto"/>
          <w:highlight w:val="none"/>
        </w:rPr>
      </w:pPr>
    </w:p>
    <w:p>
      <w:pPr>
        <w:pStyle w:val="181"/>
        <w:keepNext/>
        <w:keepLines w:val="0"/>
        <w:pageBreakBefore w:val="0"/>
        <w:numPr>
          <w:ilvl w:val="0"/>
          <w:numId w:val="1"/>
        </w:numPr>
        <w:bidi w:val="0"/>
        <w:spacing w:before="156" w:after="156" w:line="400" w:lineRule="exact"/>
        <w:ind w:firstLine="482"/>
        <w:jc w:val="both"/>
        <w:outlineLvl w:val="0"/>
        <w:rPr>
          <w:rFonts w:ascii="Times New Roman" w:eastAsia="黑体" w:cs="Times New Roman"/>
          <w:b/>
          <w:color w:val="auto"/>
          <w:highlight w:val="none"/>
        </w:rPr>
      </w:pPr>
      <w:r>
        <w:rPr>
          <w:rFonts w:ascii="Times New Roman" w:eastAsia="黑体" w:cs="Times New Roman"/>
          <w:b/>
          <w:color w:val="auto"/>
          <w:highlight w:val="none"/>
        </w:rPr>
        <w:t>投资</w:t>
      </w:r>
      <w:r>
        <w:rPr>
          <w:rFonts w:hint="eastAsia" w:ascii="Times New Roman" w:eastAsia="黑体" w:cs="Times New Roman"/>
          <w:b/>
          <w:color w:val="auto"/>
          <w:highlight w:val="none"/>
        </w:rPr>
        <w:t>对象</w:t>
      </w:r>
    </w:p>
    <w:p>
      <w:pPr>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0"/>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keepNext w:val="0"/>
        <w:keepLines w:val="0"/>
        <w:pageBreakBefore w:val="0"/>
        <w:widowControl/>
        <w:bidi w:val="0"/>
        <w:spacing w:line="276" w:lineRule="auto"/>
        <w:ind w:right="0" w:firstLine="482"/>
        <w:contextualSpacing/>
        <w:jc w:val="both"/>
        <w:rPr>
          <w:rFonts w:hint="eastAsia" w:ascii="仿宋" w:hAnsi="仿宋" w:eastAsia="仿宋" w:cs="宋体"/>
          <w:sz w:val="24"/>
          <w:szCs w:val="24"/>
          <w:highlight w:val="none"/>
        </w:rPr>
      </w:pPr>
      <w:r>
        <w:rPr>
          <w:rFonts w:hint="eastAsia" w:ascii="仿宋" w:hAnsi="仿宋" w:eastAsia="仿宋" w:cs="宋体"/>
          <w:b/>
          <w:bCs/>
          <w:color w:val="000000"/>
          <w:sz w:val="24"/>
          <w:highlight w:val="none"/>
        </w:rPr>
        <w:t>合作机构：</w:t>
      </w: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bidi w:val="0"/>
        <w:spacing w:line="276" w:lineRule="auto"/>
        <w:ind w:right="0" w:firstLine="480"/>
        <w:contextualSpacing/>
        <w:jc w:val="both"/>
        <w:rPr>
          <w:rFonts w:hint="eastAsia" w:ascii="仿宋" w:hAnsi="仿宋" w:eastAsia="仿宋" w:cs="宋体"/>
          <w:b/>
          <w:bCs/>
          <w:sz w:val="24"/>
          <w:highlight w:val="none"/>
        </w:rPr>
      </w:pPr>
    </w:p>
    <w:p>
      <w:pPr>
        <w:keepNext w:val="0"/>
        <w:keepLines w:val="0"/>
        <w:pageBreakBefore w:val="0"/>
        <w:widowControl/>
        <w:bidi w:val="0"/>
        <w:spacing w:line="276" w:lineRule="auto"/>
        <w:ind w:right="0" w:firstLine="482"/>
        <w:contextualSpacing/>
        <w:jc w:val="both"/>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lang w:val="en-US" w:eastAsia="zh-CN"/>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keepNext w:val="0"/>
        <w:keepLines w:val="0"/>
        <w:pageBreakBefore w:val="0"/>
        <w:widowControl/>
        <w:bidi w:val="0"/>
        <w:spacing w:line="276" w:lineRule="auto"/>
        <w:ind w:right="0" w:firstLine="482"/>
        <w:contextualSpacing/>
        <w:jc w:val="both"/>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若本理财产品的投资人不接受上述调整，则应在公告规定时间内提前赎回本理财产品；</w:t>
      </w:r>
      <w:r>
        <w:rPr>
          <w:rFonts w:hint="eastAsia" w:ascii="仿宋" w:hAnsi="仿宋" w:eastAsia="仿宋" w:cs="宋体"/>
          <w:b/>
          <w:bCs/>
          <w:sz w:val="24"/>
          <w:highlight w:val="none"/>
        </w:rPr>
        <w:t>若本理财产品投资人未在公告规定时间内提前赎回本理财产品，则视为其对相关调整无异议且同意在调整后继续持有本理财产品。</w:t>
      </w:r>
    </w:p>
    <w:p>
      <w:pPr>
        <w:keepNext w:val="0"/>
        <w:keepLines w:val="0"/>
        <w:pageBreakBefore w:val="0"/>
        <w:widowControl/>
        <w:bidi w:val="0"/>
        <w:spacing w:line="276" w:lineRule="auto"/>
        <w:ind w:right="0" w:firstLine="480"/>
        <w:contextualSpacing/>
        <w:jc w:val="both"/>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所称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1"/>
        <w:keepLines w:val="0"/>
        <w:pageBreakBefore w:val="0"/>
        <w:bidi w:val="0"/>
        <w:spacing w:before="156" w:after="156" w:line="400" w:lineRule="exact"/>
        <w:ind w:firstLine="482"/>
        <w:jc w:val="both"/>
        <w:outlineLvl w:val="0"/>
        <w:rPr>
          <w:rFonts w:ascii="仿宋" w:hAnsi="仿宋" w:eastAsia="仿宋"/>
          <w:color w:val="auto"/>
          <w:highlight w:val="none"/>
        </w:rPr>
      </w:pPr>
      <w:r>
        <w:rPr>
          <w:rFonts w:hint="eastAsia" w:ascii="Times New Roman" w:eastAsia="黑体" w:cs="Times New Roman"/>
          <w:b/>
          <w:color w:val="auto"/>
          <w:highlight w:val="none"/>
        </w:rPr>
        <w:t>三、理财产品管理人和托管</w:t>
      </w:r>
      <w:r>
        <w:rPr>
          <w:rFonts w:ascii="Times New Roman" w:eastAsia="黑体" w:cs="Times New Roman"/>
          <w:b/>
          <w:color w:val="auto"/>
          <w:highlight w:val="none"/>
        </w:rPr>
        <w:t>人</w:t>
      </w:r>
    </w:p>
    <w:p>
      <w:pPr>
        <w:keepLines w:val="0"/>
        <w:pageBreakBefore w:val="0"/>
        <w:widowControl/>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（一）</w:t>
      </w: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keepLines w:val="0"/>
        <w:pageBreakBefore w:val="0"/>
        <w:widowControl/>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（二）</w:t>
      </w: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rPr>
        <w:t>人</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法定代表人：</w:t>
      </w:r>
      <w:r>
        <w:rPr>
          <w:rFonts w:ascii="仿宋" w:hAnsi="仿宋" w:eastAsia="仿宋" w:cs="宋体"/>
          <w:color w:val="000000"/>
          <w:sz w:val="24"/>
          <w:highlight w:val="none"/>
        </w:rPr>
        <w:t>杨书剑</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注册地址：</w:t>
      </w:r>
      <w:r>
        <w:rPr>
          <w:rFonts w:ascii="仿宋" w:hAnsi="仿宋" w:eastAsia="仿宋" w:cs="宋体"/>
          <w:color w:val="000000"/>
          <w:sz w:val="24"/>
          <w:highlight w:val="none"/>
        </w:rPr>
        <w:t>北京市东城区建国门内大街22号</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四</w:t>
      </w:r>
      <w:r>
        <w:rPr>
          <w:rFonts w:ascii="Times New Roman" w:eastAsia="黑体" w:cs="Times New Roman"/>
          <w:b/>
          <w:color w:val="auto"/>
          <w:highlight w:val="none"/>
        </w:rPr>
        <w:t>、理财产品</w:t>
      </w:r>
      <w:r>
        <w:rPr>
          <w:rFonts w:hint="eastAsia" w:ascii="Times New Roman" w:eastAsia="黑体" w:cs="Times New Roman"/>
          <w:b/>
          <w:color w:val="auto"/>
          <w:highlight w:val="none"/>
        </w:rPr>
        <w:t>份额净值</w:t>
      </w:r>
      <w:r>
        <w:rPr>
          <w:rFonts w:ascii="Times New Roman" w:eastAsia="黑体" w:cs="Times New Roman"/>
          <w:b/>
          <w:color w:val="auto"/>
          <w:highlight w:val="none"/>
        </w:rPr>
        <w:t>的计算</w:t>
      </w:r>
    </w:p>
    <w:p>
      <w:pPr>
        <w:keepLines w:val="0"/>
        <w:pageBreakBefore w:val="0"/>
        <w:widowControl/>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keepLines w:val="0"/>
        <w:pageBreakBefore w:val="0"/>
        <w:widowControl/>
        <w:bidi w:val="0"/>
        <w:spacing w:line="276" w:lineRule="auto"/>
        <w:ind w:firstLine="480"/>
        <w:contextualSpacing/>
        <w:jc w:val="both"/>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五</w:t>
      </w:r>
      <w:r>
        <w:rPr>
          <w:rFonts w:ascii="Times New Roman" w:eastAsia="黑体" w:cs="Times New Roman"/>
          <w:b/>
          <w:color w:val="auto"/>
          <w:highlight w:val="none"/>
        </w:rPr>
        <w:t>、认购</w:t>
      </w:r>
    </w:p>
    <w:p>
      <w:pPr>
        <w:keepLines w:val="0"/>
        <w:pageBreakBefore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；通过华夏银行购买的，</w:t>
      </w:r>
      <w:r>
        <w:rPr>
          <w:rFonts w:ascii="仿宋" w:hAnsi="仿宋" w:eastAsia="仿宋" w:cs="宋体"/>
          <w:sz w:val="24"/>
          <w:highlight w:val="none"/>
        </w:rPr>
        <w:t>投资者可通过</w:t>
      </w:r>
      <w:r>
        <w:rPr>
          <w:rFonts w:hint="eastAsia" w:ascii="仿宋" w:hAnsi="仿宋" w:eastAsia="仿宋" w:cs="宋体"/>
          <w:sz w:val="24"/>
          <w:highlight w:val="none"/>
        </w:rPr>
        <w:t>华夏银行</w:t>
      </w:r>
      <w:r>
        <w:rPr>
          <w:rFonts w:hint="eastAsia" w:ascii="仿宋" w:hAnsi="仿宋" w:eastAsia="仿宋"/>
          <w:sz w:val="24"/>
          <w:highlight w:val="none"/>
        </w:rPr>
        <w:t>柜台、手机银行、网上银行等</w:t>
      </w:r>
      <w:r>
        <w:rPr>
          <w:rFonts w:ascii="仿宋" w:hAnsi="仿宋" w:eastAsia="仿宋"/>
          <w:sz w:val="24"/>
          <w:highlight w:val="none"/>
        </w:rPr>
        <w:t>渠道</w:t>
      </w:r>
      <w:r>
        <w:rPr>
          <w:rFonts w:ascii="仿宋" w:hAnsi="仿宋" w:eastAsia="仿宋" w:cs="宋体"/>
          <w:sz w:val="24"/>
          <w:highlight w:val="none"/>
        </w:rPr>
        <w:t>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keepLines w:val="0"/>
        <w:pageBreakBefore w:val="0"/>
        <w:widowControl/>
        <w:bidi w:val="0"/>
        <w:spacing w:line="276" w:lineRule="auto"/>
        <w:ind w:firstLine="482"/>
        <w:contextualSpacing/>
        <w:jc w:val="both"/>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keepLines w:val="0"/>
        <w:pageBreakBefore w:val="0"/>
        <w:widowControl/>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Lines w:val="0"/>
        <w:pageBreakBefore w:val="0"/>
        <w:bidi w:val="0"/>
        <w:spacing w:line="276" w:lineRule="auto"/>
        <w:ind w:firstLine="482"/>
        <w:contextualSpacing/>
        <w:jc w:val="both"/>
        <w:outlineLvl w:val="1"/>
        <w:rPr>
          <w:rFonts w:ascii="仿宋" w:hAnsi="仿宋" w:eastAsia="仿宋" w:cs="宋体"/>
          <w:b/>
          <w:bCs/>
          <w:sz w:val="24"/>
          <w:highlight w:val="none"/>
        </w:rPr>
      </w:pPr>
      <w:r>
        <w:rPr>
          <w:rFonts w:hint="eastAsia" w:ascii="仿宋" w:hAnsi="仿宋" w:eastAsia="仿宋" w:cs="宋体"/>
          <w:b/>
          <w:bCs/>
          <w:sz w:val="24"/>
          <w:highlight w:val="none"/>
        </w:rPr>
        <w:t>3.拒绝或暂停</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购的情形</w:t>
      </w:r>
    </w:p>
    <w:p>
      <w:pPr>
        <w:keepLines w:val="0"/>
        <w:pageBreakBefore w:val="0"/>
        <w:widowControl/>
        <w:bidi w:val="0"/>
        <w:spacing w:line="276" w:lineRule="auto"/>
        <w:ind w:firstLine="482"/>
        <w:contextualSpacing/>
        <w:jc w:val="both"/>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keepLines w:val="0"/>
        <w:pageBreakBefore w:val="0"/>
        <w:widowControl/>
        <w:bidi w:val="0"/>
        <w:spacing w:line="276" w:lineRule="auto"/>
        <w:ind w:firstLine="480"/>
        <w:contextualSpacing/>
        <w:jc w:val="both"/>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1"/>
        <w:keepLines w:val="0"/>
        <w:pageBreakBefore w:val="0"/>
        <w:bidi w:val="0"/>
        <w:spacing w:line="276" w:lineRule="auto"/>
        <w:ind w:firstLine="480"/>
        <w:jc w:val="both"/>
        <w:rPr>
          <w:rFonts w:ascii="仿宋" w:hAnsi="仿宋" w:eastAsia="仿宋"/>
          <w:highlight w:val="none"/>
        </w:rPr>
      </w:pPr>
      <w:r>
        <w:rPr>
          <w:rFonts w:hint="eastAsia" w:ascii="仿宋" w:hAnsi="仿宋" w:eastAsia="仿宋"/>
          <w:highlight w:val="none"/>
        </w:rPr>
        <w:t>如果投资人的认购申请被全部或部分拒绝的，被拒绝的认购款项将退还给投资人。在暂停认购的情况消除时，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六</w:t>
      </w:r>
      <w:r>
        <w:rPr>
          <w:rFonts w:ascii="Times New Roman" w:eastAsia="黑体" w:cs="Times New Roman"/>
          <w:b/>
          <w:color w:val="auto"/>
          <w:highlight w:val="none"/>
        </w:rPr>
        <w:t>、</w:t>
      </w:r>
      <w:r>
        <w:rPr>
          <w:rFonts w:hint="eastAsia" w:ascii="Times New Roman" w:eastAsia="黑体" w:cs="Times New Roman"/>
          <w:b/>
          <w:color w:val="auto"/>
          <w:highlight w:val="none"/>
        </w:rPr>
        <w:t>收益示例</w:t>
      </w:r>
    </w:p>
    <w:p>
      <w:pPr>
        <w:keepLines w:val="0"/>
        <w:pageBreakBefore w:val="0"/>
        <w:bidi w:val="0"/>
        <w:spacing w:line="276" w:lineRule="auto"/>
        <w:ind w:firstLine="480"/>
        <w:jc w:val="both"/>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keepLines w:val="0"/>
        <w:pageBreakBefore w:val="0"/>
        <w:bidi w:val="0"/>
        <w:spacing w:line="276" w:lineRule="auto"/>
        <w:ind w:firstLine="480"/>
        <w:jc w:val="both"/>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keepLines w:val="0"/>
        <w:pageBreakBefore w:val="0"/>
        <w:bidi w:val="0"/>
        <w:spacing w:line="276" w:lineRule="auto"/>
        <w:ind w:firstLine="480"/>
        <w:jc w:val="both"/>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keepLines w:val="0"/>
        <w:pageBreakBefore w:val="0"/>
        <w:widowControl/>
        <w:bidi w:val="0"/>
        <w:spacing w:line="276" w:lineRule="auto"/>
        <w:ind w:firstLine="480"/>
        <w:contextualSpacing/>
        <w:jc w:val="both"/>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keepLines w:val="0"/>
        <w:pageBreakBefore w:val="0"/>
        <w:bidi w:val="0"/>
        <w:spacing w:line="276" w:lineRule="auto"/>
        <w:ind w:firstLine="482"/>
        <w:contextualSpacing/>
        <w:jc w:val="both"/>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七</w:t>
      </w:r>
      <w:r>
        <w:rPr>
          <w:rFonts w:ascii="Times New Roman" w:eastAsia="黑体" w:cs="Times New Roman"/>
          <w:b/>
          <w:color w:val="auto"/>
          <w:highlight w:val="none"/>
        </w:rPr>
        <w:t>、理财产品估值</w:t>
      </w:r>
    </w:p>
    <w:p>
      <w:pPr>
        <w:pStyle w:val="181"/>
        <w:keepNext w:val="0"/>
        <w:keepLines w:val="0"/>
        <w:pageBreakBefore w:val="0"/>
        <w:widowControl w:val="0"/>
        <w:bidi w:val="0"/>
        <w:spacing w:line="276" w:lineRule="auto"/>
        <w:ind w:firstLine="480"/>
        <w:contextualSpacing/>
        <w:jc w:val="both"/>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1"/>
        <w:keepNext w:val="0"/>
        <w:keepLines w:val="0"/>
        <w:pageBreakBefore w:val="0"/>
        <w:widowControl w:val="0"/>
        <w:bidi w:val="0"/>
        <w:spacing w:line="276" w:lineRule="auto"/>
        <w:ind w:firstLine="480"/>
        <w:contextualSpacing/>
        <w:jc w:val="both"/>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1"/>
        <w:keepNext w:val="0"/>
        <w:keepLines w:val="0"/>
        <w:pageBreakBefore w:val="0"/>
        <w:widowControl w:val="0"/>
        <w:bidi w:val="0"/>
        <w:spacing w:line="276" w:lineRule="auto"/>
        <w:ind w:firstLine="480"/>
        <w:contextualSpacing/>
        <w:jc w:val="both"/>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1"/>
        <w:keepNext w:val="0"/>
        <w:keepLines w:val="0"/>
        <w:pageBreakBefore w:val="0"/>
        <w:widowControl w:val="0"/>
        <w:bidi w:val="0"/>
        <w:spacing w:line="276" w:lineRule="auto"/>
        <w:ind w:firstLine="480"/>
        <w:contextualSpacing/>
        <w:jc w:val="both"/>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托管人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（2）首次公开发行未上市的股票、债券和权证，采用估值技术确定公允价值，在估值技术难以可靠计量公允价值的情况下，采用管理人和托管人共同认可的第三方机构提供的估值，或双方共同认可的估值；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（3）优先股采用估值技术确认公允价值，在估值技术难以可靠计量公允价值的情况下，采用管理人和托管人共同认可的第三方机构提供的估值，或双方共同认可的估值；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托管人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5.证券投资基金的估值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9.汇率估值方法</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11.非标准化债权类资产采用估值技术确认公允价值或在相关法律法规以及监管部门允许的情况下采用摊余成本法估值。在估值技术难以可靠计量公允价值的情况下，采用管理人和托管人共同认可的估值。</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14.相关法律法规以及监管部门有强制规定的，从其规定。如有新增事项或变更事项，依法按最新规定计算。没有相关规定的，由产品管理人与托管人协商确定计算方法。</w:t>
      </w:r>
    </w:p>
    <w:p>
      <w:pPr>
        <w:pStyle w:val="181"/>
        <w:keepNext w:val="0"/>
        <w:keepLines w:val="0"/>
        <w:pageBreakBefore w:val="0"/>
        <w:widowControl w:val="0"/>
        <w:bidi w:val="0"/>
        <w:spacing w:line="276" w:lineRule="auto"/>
        <w:ind w:firstLine="480"/>
        <w:contextualSpacing/>
        <w:jc w:val="both"/>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托管人商议后，按最能反映理财产品财产公允价值的方法估值。即使存在上述情况，产品管理人或托管人若采用上述规定的方法为理财产品财产进行了估值，仍应被认为采用了适当的估值方法。</w:t>
      </w:r>
    </w:p>
    <w:p>
      <w:pPr>
        <w:pStyle w:val="181"/>
        <w:keepNext w:val="0"/>
        <w:keepLines w:val="0"/>
        <w:pageBreakBefore w:val="0"/>
        <w:widowControl w:val="0"/>
        <w:bidi w:val="0"/>
        <w:spacing w:line="276" w:lineRule="auto"/>
        <w:ind w:firstLine="482"/>
        <w:contextualSpacing/>
        <w:jc w:val="both"/>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1"/>
        <w:keepNext w:val="0"/>
        <w:keepLines w:val="0"/>
        <w:pageBreakBefore w:val="0"/>
        <w:widowControl w:val="0"/>
        <w:bidi w:val="0"/>
        <w:spacing w:line="276" w:lineRule="auto"/>
        <w:ind w:firstLine="480"/>
        <w:contextualSpacing/>
        <w:jc w:val="both"/>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1"/>
        <w:keepNext w:val="0"/>
        <w:keepLines w:val="0"/>
        <w:pageBreakBefore w:val="0"/>
        <w:widowControl w:val="0"/>
        <w:bidi w:val="0"/>
        <w:spacing w:line="276" w:lineRule="auto"/>
        <w:ind w:firstLine="482"/>
        <w:contextualSpacing/>
        <w:jc w:val="both"/>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1"/>
        <w:keepNext w:val="0"/>
        <w:keepLines w:val="0"/>
        <w:pageBreakBefore w:val="0"/>
        <w:widowControl w:val="0"/>
        <w:bidi w:val="0"/>
        <w:spacing w:line="276" w:lineRule="auto"/>
        <w:ind w:firstLine="480"/>
        <w:contextualSpacing/>
        <w:jc w:val="both"/>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1"/>
        <w:keepNext w:val="0"/>
        <w:keepLines w:val="0"/>
        <w:pageBreakBefore w:val="0"/>
        <w:widowControl w:val="0"/>
        <w:bidi w:val="0"/>
        <w:spacing w:line="276" w:lineRule="auto"/>
        <w:ind w:firstLine="480"/>
        <w:contextualSpacing/>
        <w:jc w:val="both"/>
        <w:rPr>
          <w:rFonts w:ascii="仿宋" w:hAnsi="仿宋" w:eastAsia="仿宋"/>
          <w:highlight w:val="none"/>
        </w:rPr>
      </w:pPr>
      <w:r>
        <w:rPr>
          <w:rFonts w:hint="eastAsia" w:ascii="仿宋" w:hAnsi="仿宋" w:eastAsia="仿宋"/>
          <w:highlight w:val="none"/>
        </w:rPr>
        <w:t>2.因不可抗力或其他情形致使管理人、托管人无法准确评估资产价值。</w:t>
      </w:r>
    </w:p>
    <w:p>
      <w:pPr>
        <w:pStyle w:val="181"/>
        <w:keepNext w:val="0"/>
        <w:keepLines w:val="0"/>
        <w:pageBreakBefore w:val="0"/>
        <w:widowControl w:val="0"/>
        <w:bidi w:val="0"/>
        <w:spacing w:line="276" w:lineRule="auto"/>
        <w:ind w:firstLine="480"/>
        <w:contextualSpacing/>
        <w:jc w:val="both"/>
        <w:rPr>
          <w:rFonts w:ascii="仿宋" w:hAnsi="仿宋" w:eastAsia="仿宋"/>
          <w:highlight w:val="none"/>
        </w:rPr>
      </w:pPr>
      <w:r>
        <w:rPr>
          <w:rFonts w:hint="eastAsia" w:ascii="仿宋" w:hAnsi="仿宋" w:eastAsia="仿宋"/>
          <w:highlight w:val="none"/>
        </w:rPr>
        <w:t>3.监管机构认定或管理人、托管人有合理理由认为将影响本理财产品估值的其它情形。</w:t>
      </w:r>
    </w:p>
    <w:p>
      <w:pPr>
        <w:pStyle w:val="181"/>
        <w:keepNext w:val="0"/>
        <w:keepLines w:val="0"/>
        <w:pageBreakBefore w:val="0"/>
        <w:widowControl w:val="0"/>
        <w:bidi w:val="0"/>
        <w:spacing w:line="276" w:lineRule="auto"/>
        <w:ind w:firstLine="480"/>
        <w:contextualSpacing/>
        <w:jc w:val="both"/>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1"/>
        <w:keepNext w:val="0"/>
        <w:keepLines w:val="0"/>
        <w:pageBreakBefore w:val="0"/>
        <w:widowControl w:val="0"/>
        <w:bidi w:val="0"/>
        <w:spacing w:line="276" w:lineRule="auto"/>
        <w:ind w:firstLine="480"/>
        <w:jc w:val="both"/>
        <w:rPr>
          <w:rFonts w:ascii="Times New Roman" w:eastAsia="黑体" w:cs="Times New Roman"/>
          <w:b/>
          <w:color w:val="auto"/>
          <w:highlight w:val="none"/>
        </w:rPr>
      </w:pPr>
      <w:r>
        <w:rPr>
          <w:rFonts w:hint="eastAsia" w:ascii="仿宋" w:hAnsi="仿宋" w:eastAsia="仿宋" w:cs="仿宋"/>
          <w:highlight w:val="none"/>
        </w:rPr>
        <w:t>管理人和托管人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托管人虽然已经采取必要、适当、合理的措施进行检查，但是未能发现该错误的，由此造成的产品资产估值错误，管理人和托管人可以在法律法规允许的范围内免除赔偿责任。但管理人和托管人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1"/>
        <w:keepNext/>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风险揭示</w:t>
      </w:r>
    </w:p>
    <w:p>
      <w:pPr>
        <w:pStyle w:val="181"/>
        <w:keepNext w:val="0"/>
        <w:keepLines w:val="0"/>
        <w:pageBreakBefore w:val="0"/>
        <w:bidi w:val="0"/>
        <w:spacing w:line="276" w:lineRule="auto"/>
        <w:ind w:firstLine="480"/>
        <w:contextualSpacing/>
        <w:jc w:val="both"/>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keepNext w:val="0"/>
        <w:keepLines w:val="0"/>
        <w:pageBreakBefore w:val="0"/>
        <w:widowControl/>
        <w:bidi w:val="0"/>
        <w:spacing w:line="276" w:lineRule="auto"/>
        <w:ind w:firstLine="482"/>
        <w:contextualSpacing/>
        <w:jc w:val="both"/>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1"/>
        <w:keepNext w:val="0"/>
        <w:keepLines w:val="0"/>
        <w:pageBreakBefore w:val="0"/>
        <w:bidi w:val="0"/>
        <w:spacing w:line="276" w:lineRule="auto"/>
        <w:ind w:firstLine="482"/>
        <w:contextualSpacing/>
        <w:jc w:val="both"/>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keepNext w:val="0"/>
        <w:keepLines w:val="0"/>
        <w:pageBreakBefore w:val="0"/>
        <w:bidi w:val="0"/>
        <w:spacing w:line="276" w:lineRule="auto"/>
        <w:ind w:firstLine="482"/>
        <w:contextualSpacing/>
        <w:jc w:val="both"/>
        <w:rPr>
          <w:rFonts w:eastAsia="黑体"/>
          <w:b/>
          <w:sz w:val="24"/>
          <w:highlight w:val="none"/>
        </w:rPr>
      </w:pPr>
      <w:r>
        <w:rPr>
          <w:rFonts w:hint="eastAsia" w:eastAsia="黑体"/>
          <w:b/>
          <w:sz w:val="24"/>
          <w:highlight w:val="none"/>
        </w:rPr>
        <w:t>（十二）关联关系风险：本理财产品的代销机构与托管人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1"/>
        <w:keepNext w:val="0"/>
        <w:keepLines w:val="0"/>
        <w:pageBreakBefore w:val="0"/>
        <w:bidi w:val="0"/>
        <w:spacing w:line="276" w:lineRule="auto"/>
        <w:ind w:firstLine="482"/>
        <w:contextualSpacing/>
        <w:jc w:val="both"/>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1"/>
        <w:keepNext w:val="0"/>
        <w:keepLines w:val="0"/>
        <w:pageBreakBefore w:val="0"/>
        <w:bidi w:val="0"/>
        <w:spacing w:line="276" w:lineRule="auto"/>
        <w:ind w:firstLine="482"/>
        <w:contextualSpacing/>
        <w:jc w:val="both"/>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1"/>
        <w:keepNext w:val="0"/>
        <w:keepLines w:val="0"/>
        <w:pageBreakBefore w:val="0"/>
        <w:bidi w:val="0"/>
        <w:spacing w:line="276" w:lineRule="auto"/>
        <w:ind w:firstLine="482"/>
        <w:contextualSpacing/>
        <w:jc w:val="both"/>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1"/>
        <w:keepNext w:val="0"/>
        <w:keepLines w:val="0"/>
        <w:pageBreakBefore w:val="0"/>
        <w:widowControl w:val="0"/>
        <w:bidi w:val="0"/>
        <w:spacing w:line="276" w:lineRule="auto"/>
        <w:ind w:firstLine="482"/>
        <w:contextualSpacing/>
        <w:jc w:val="both"/>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1"/>
        <w:keepNext w:val="0"/>
        <w:keepLines w:val="0"/>
        <w:pageBreakBefore w:val="0"/>
        <w:widowControl w:val="0"/>
        <w:numPr>
          <w:ilvl w:val="0"/>
          <w:numId w:val="0"/>
        </w:numPr>
        <w:bidi w:val="0"/>
        <w:spacing w:line="276" w:lineRule="auto"/>
        <w:ind w:firstLine="482"/>
        <w:contextualSpacing/>
        <w:jc w:val="both"/>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九、</w:t>
      </w:r>
      <w:r>
        <w:rPr>
          <w:rFonts w:ascii="Times New Roman" w:eastAsia="黑体" w:cs="Times New Roman"/>
          <w:b/>
          <w:color w:val="auto"/>
          <w:highlight w:val="none"/>
        </w:rPr>
        <w:t>信息披露</w:t>
      </w:r>
    </w:p>
    <w:p>
      <w:pPr>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keepNext w:val="0"/>
        <w:keepLines w:val="0"/>
        <w:pageBreakBefore w:val="0"/>
        <w:widowControl w:val="0"/>
        <w:bidi w:val="0"/>
        <w:spacing w:line="276" w:lineRule="auto"/>
        <w:ind w:firstLine="482"/>
        <w:contextualSpacing/>
        <w:jc w:val="both"/>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“份额净值公告日”约定</w:t>
      </w:r>
      <w:r>
        <w:rPr>
          <w:rFonts w:ascii="仿宋" w:hAnsi="仿宋" w:eastAsia="仿宋" w:cs="宋体"/>
          <w:sz w:val="24"/>
          <w:highlight w:val="none"/>
        </w:rPr>
        <w:t>披露产品净值。</w:t>
      </w:r>
    </w:p>
    <w:p>
      <w:pPr>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根据监管规定及业务需要，管理人可进行临时信息披露，涉及事项包括但不限于：管理人、托管人发生变更，理财产品投资非标准化债权类资产或信贷资产受（收）益权，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bidi w:val="0"/>
        <w:spacing w:line="276" w:lineRule="auto"/>
        <w:ind w:firstLine="480"/>
        <w:contextualSpacing/>
        <w:jc w:val="both"/>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bidi w:val="0"/>
        <w:spacing w:line="276" w:lineRule="auto"/>
        <w:ind w:firstLine="480"/>
        <w:contextualSpacing/>
        <w:jc w:val="both"/>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bidi w:val="0"/>
        <w:spacing w:line="276" w:lineRule="auto"/>
        <w:ind w:firstLine="482"/>
        <w:contextualSpacing/>
        <w:jc w:val="both"/>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管理人将通过华夏理财有限责任公司官方网站（www.hxwm.com.cn）、代销机构（如有）信息披露渠道等进行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bidi w:val="0"/>
        <w:spacing w:line="276" w:lineRule="auto"/>
        <w:ind w:firstLine="480"/>
        <w:contextualSpacing/>
        <w:jc w:val="both"/>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1"/>
        <w:keepNext w:val="0"/>
        <w:keepLines w:val="0"/>
        <w:pageBreakBefore w:val="0"/>
        <w:widowControl w:val="0"/>
        <w:bidi w:val="0"/>
        <w:spacing w:line="276" w:lineRule="auto"/>
        <w:ind w:firstLine="480"/>
        <w:jc w:val="both"/>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十、</w:t>
      </w:r>
      <w:r>
        <w:rPr>
          <w:rFonts w:ascii="Times New Roman" w:eastAsia="黑体" w:cs="Times New Roman"/>
          <w:b/>
          <w:color w:val="auto"/>
          <w:highlight w:val="none"/>
        </w:rPr>
        <w:t>特别提示</w:t>
      </w:r>
    </w:p>
    <w:p>
      <w:pPr>
        <w:keepLines w:val="0"/>
        <w:pageBreakBefore w:val="0"/>
        <w:bidi w:val="0"/>
        <w:spacing w:line="276" w:lineRule="auto"/>
        <w:ind w:firstLine="482"/>
        <w:contextualSpacing/>
        <w:jc w:val="both"/>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在华夏理财有限责任公司官方网站（www.hxwm.com.cn）公告的方式通知投资者。</w:t>
      </w:r>
    </w:p>
    <w:p>
      <w:pPr>
        <w:keepLines w:val="0"/>
        <w:pageBreakBefore w:val="0"/>
        <w:bidi w:val="0"/>
        <w:spacing w:line="276" w:lineRule="auto"/>
        <w:ind w:firstLine="480"/>
        <w:contextualSpacing/>
        <w:jc w:val="both"/>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keepLines w:val="0"/>
        <w:pageBreakBefore w:val="0"/>
        <w:widowControl/>
        <w:bidi w:val="0"/>
        <w:spacing w:line="276" w:lineRule="auto"/>
        <w:ind w:firstLine="482"/>
        <w:contextualSpacing/>
        <w:jc w:val="both"/>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1"/>
        <w:keepLines w:val="0"/>
        <w:pageBreakBefore w:val="0"/>
        <w:bidi w:val="0"/>
        <w:spacing w:before="156" w:after="156" w:line="400" w:lineRule="exact"/>
        <w:ind w:firstLine="482"/>
        <w:jc w:val="both"/>
        <w:outlineLvl w:val="0"/>
        <w:rPr>
          <w:rFonts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keepLines w:val="0"/>
        <w:pageBreakBefore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keepLines w:val="0"/>
        <w:pageBreakBefore w:val="0"/>
        <w:bidi w:val="0"/>
        <w:spacing w:line="276" w:lineRule="auto"/>
        <w:ind w:firstLine="480"/>
        <w:contextualSpacing/>
        <w:jc w:val="both"/>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bidi w:val="0"/>
        <w:spacing w:line="276" w:lineRule="auto"/>
        <w:ind w:firstLine="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bidi w:val="0"/>
        <w:spacing w:line="276" w:lineRule="auto"/>
        <w:ind w:firstLine="0"/>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rPr>
          <w:highlight w:val="none"/>
        </w:rPr>
      </w:pPr>
    </w:p>
    <w:bookmarkEnd w:id="6"/>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2"/>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E5417A"/>
    <w:rsid w:val="26716693"/>
    <w:rsid w:val="267B6F01"/>
    <w:rsid w:val="485B7BAF"/>
    <w:rsid w:val="4C0A1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54"/>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5"/>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6"/>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7"/>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58"/>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59"/>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0"/>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1"/>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2"/>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Body Text Indent"/>
    <w:basedOn w:val="1"/>
    <w:unhideWhenUsed/>
    <w:qFormat/>
    <w:uiPriority w:val="0"/>
    <w:pPr>
      <w:ind w:firstLine="630"/>
    </w:pPr>
    <w:rPr>
      <w:sz w:val="24"/>
    </w:rPr>
  </w:style>
  <w:style w:type="paragraph" w:styleId="13">
    <w:name w:val="endnote text"/>
    <w:basedOn w:val="1"/>
    <w:link w:val="179"/>
    <w:semiHidden/>
    <w:unhideWhenUsed/>
    <w:qFormat/>
    <w:uiPriority w:val="99"/>
    <w:pPr>
      <w:spacing w:after="0" w:line="240" w:lineRule="auto"/>
    </w:pPr>
    <w:rPr>
      <w:sz w:val="20"/>
      <w:szCs w:val="20"/>
    </w:rPr>
  </w:style>
  <w:style w:type="paragraph" w:styleId="14">
    <w:name w:val="footer"/>
    <w:basedOn w:val="1"/>
    <w:link w:val="177"/>
    <w:unhideWhenUsed/>
    <w:qFormat/>
    <w:uiPriority w:val="99"/>
    <w:pPr>
      <w:tabs>
        <w:tab w:val="center" w:pos="4844"/>
        <w:tab w:val="right" w:pos="9689"/>
      </w:tabs>
      <w:spacing w:after="0" w:line="240" w:lineRule="auto"/>
    </w:pPr>
  </w:style>
  <w:style w:type="paragraph" w:styleId="15">
    <w:name w:val="header"/>
    <w:basedOn w:val="1"/>
    <w:link w:val="176"/>
    <w:unhideWhenUsed/>
    <w:qFormat/>
    <w:uiPriority w:val="99"/>
    <w:pPr>
      <w:tabs>
        <w:tab w:val="center" w:pos="4844"/>
        <w:tab w:val="right" w:pos="9689"/>
      </w:tabs>
      <w:spacing w:after="0" w:line="240" w:lineRule="auto"/>
    </w:pPr>
  </w:style>
  <w:style w:type="paragraph" w:styleId="16">
    <w:name w:val="Subtitle"/>
    <w:basedOn w:val="1"/>
    <w:next w:val="1"/>
    <w:link w:val="164"/>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
    <w:name w:val="footnote text"/>
    <w:basedOn w:val="1"/>
    <w:link w:val="178"/>
    <w:semiHidden/>
    <w:unhideWhenUsed/>
    <w:qFormat/>
    <w:uiPriority w:val="99"/>
    <w:pPr>
      <w:spacing w:after="0" w:line="240" w:lineRule="auto"/>
    </w:pPr>
    <w:rPr>
      <w:sz w:val="20"/>
      <w:szCs w:val="20"/>
    </w:rPr>
  </w:style>
  <w:style w:type="paragraph" w:styleId="18">
    <w:name w:val="table of figures"/>
    <w:basedOn w:val="1"/>
    <w:next w:val="1"/>
    <w:unhideWhenUsed/>
    <w:qFormat/>
    <w:uiPriority w:val="99"/>
    <w:pPr>
      <w:spacing w:after="0" w:afterAutospacing="0"/>
    </w:pPr>
  </w:style>
  <w:style w:type="paragraph" w:styleId="19">
    <w:name w:val="Title"/>
    <w:basedOn w:val="1"/>
    <w:next w:val="1"/>
    <w:link w:val="163"/>
    <w:qFormat/>
    <w:uiPriority w:val="10"/>
    <w:pPr>
      <w:spacing w:after="80" w:line="240" w:lineRule="auto"/>
      <w:contextualSpacing/>
    </w:pPr>
    <w:rPr>
      <w:rFonts w:ascii="Arial" w:hAnsi="Arial" w:eastAsia="Arial" w:cs="Arial"/>
      <w:spacing w:val="-10"/>
      <w:sz w:val="56"/>
      <w:szCs w:val="56"/>
    </w:rPr>
  </w:style>
  <w:style w:type="table" w:styleId="21">
    <w:name w:val="Table Grid"/>
    <w:basedOn w:val="20"/>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3">
    <w:name w:val="Strong"/>
    <w:basedOn w:val="22"/>
    <w:qFormat/>
    <w:uiPriority w:val="22"/>
    <w:rPr>
      <w:b/>
      <w:bCs/>
    </w:rPr>
  </w:style>
  <w:style w:type="character" w:styleId="24">
    <w:name w:val="endnote reference"/>
    <w:basedOn w:val="22"/>
    <w:semiHidden/>
    <w:unhideWhenUsed/>
    <w:qFormat/>
    <w:uiPriority w:val="99"/>
    <w:rPr>
      <w:vertAlign w:val="superscript"/>
    </w:rPr>
  </w:style>
  <w:style w:type="character" w:styleId="25">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6">
    <w:name w:val="Emphasis"/>
    <w:basedOn w:val="22"/>
    <w:qFormat/>
    <w:uiPriority w:val="20"/>
    <w:rPr>
      <w:i/>
      <w:iCs/>
    </w:rPr>
  </w:style>
  <w:style w:type="character" w:styleId="27">
    <w:name w:val="Hyperlink"/>
    <w:basedOn w:val="22"/>
    <w:unhideWhenUsed/>
    <w:qFormat/>
    <w:uiPriority w:val="99"/>
    <w:rPr>
      <w:color w:val="0563C1" w:themeColor="hyperlink"/>
      <w:u w:val="single"/>
      <w14:textFill>
        <w14:solidFill>
          <w14:schemeClr w14:val="hlink"/>
        </w14:solidFill>
      </w14:textFill>
    </w:rPr>
  </w:style>
  <w:style w:type="character" w:styleId="28">
    <w:name w:val="footnote reference"/>
    <w:basedOn w:val="22"/>
    <w:semiHidden/>
    <w:unhideWhenUsed/>
    <w:qFormat/>
    <w:uiPriority w:val="99"/>
    <w:rPr>
      <w:vertAlign w:val="superscript"/>
    </w:rPr>
  </w:style>
  <w:style w:type="table" w:customStyle="1" w:styleId="29">
    <w:name w:val="Table Grid Light"/>
    <w:basedOn w:val="20"/>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0">
    <w:name w:val="Plain Table 1"/>
    <w:basedOn w:val="20"/>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1">
    <w:name w:val="Plain Table 2"/>
    <w:basedOn w:val="20"/>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2">
    <w:name w:val="Plain Table 3"/>
    <w:basedOn w:val="20"/>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3">
    <w:name w:val="Plain Table 4"/>
    <w:basedOn w:val="20"/>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4">
    <w:name w:val="Plain Table 5"/>
    <w:basedOn w:val="20"/>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Grid Table 1 Light"/>
    <w:basedOn w:val="20"/>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6">
    <w:name w:val="Grid Table 1 Light - Accent 1"/>
    <w:basedOn w:val="20"/>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37">
    <w:name w:val="Grid Table 1 Light - Accent 2"/>
    <w:basedOn w:val="20"/>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38">
    <w:name w:val="Grid Table 1 Light - Accent 3"/>
    <w:basedOn w:val="20"/>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39">
    <w:name w:val="Grid Table 1 Light - Accent 4"/>
    <w:basedOn w:val="20"/>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0">
    <w:name w:val="Grid Table 1 Light - Accent 5"/>
    <w:basedOn w:val="20"/>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1">
    <w:name w:val="Grid Table 1 Light - Accent 6"/>
    <w:basedOn w:val="20"/>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2">
    <w:name w:val="Grid Table 2"/>
    <w:basedOn w:val="20"/>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3">
    <w:name w:val="Grid Table 2 - Accent 1"/>
    <w:basedOn w:val="20"/>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4">
    <w:name w:val="Grid Table 2 - Accent 2"/>
    <w:basedOn w:val="20"/>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45">
    <w:name w:val="Grid Table 2 - Accent 3"/>
    <w:basedOn w:val="20"/>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46">
    <w:name w:val="Grid Table 2 - Accent 4"/>
    <w:basedOn w:val="20"/>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47">
    <w:name w:val="Grid Table 2 - Accent 5"/>
    <w:basedOn w:val="20"/>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48">
    <w:name w:val="Grid Table 2 - Accent 6"/>
    <w:basedOn w:val="20"/>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49">
    <w:name w:val="Grid Table 3"/>
    <w:basedOn w:val="20"/>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0">
    <w:name w:val="Grid Table 3 - Accent 1"/>
    <w:basedOn w:val="20"/>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1">
    <w:name w:val="Grid Table 3 - Accent 2"/>
    <w:basedOn w:val="20"/>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2">
    <w:name w:val="Grid Table 3 - Accent 3"/>
    <w:basedOn w:val="20"/>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3">
    <w:name w:val="Grid Table 3 - Accent 4"/>
    <w:basedOn w:val="20"/>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4">
    <w:name w:val="Grid Table 3 - Accent 5"/>
    <w:basedOn w:val="20"/>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5">
    <w:name w:val="Grid Table 3 - Accent 6"/>
    <w:basedOn w:val="20"/>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6">
    <w:name w:val="Grid Table 4"/>
    <w:basedOn w:val="20"/>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7">
    <w:name w:val="Grid Table 4 - Accent 1"/>
    <w:basedOn w:val="20"/>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58">
    <w:name w:val="Grid Table 4 - Accent 2"/>
    <w:basedOn w:val="20"/>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9">
    <w:name w:val="Grid Table 4 - Accent 3"/>
    <w:basedOn w:val="20"/>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0">
    <w:name w:val="Grid Table 4 - Accent 4"/>
    <w:basedOn w:val="20"/>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1">
    <w:name w:val="Grid Table 4 - Accent 5"/>
    <w:basedOn w:val="20"/>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2">
    <w:name w:val="Grid Table 4 - Accent 6"/>
    <w:basedOn w:val="20"/>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3">
    <w:name w:val="Grid Table 5 Dark"/>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4">
    <w:name w:val="Grid Table 5 Dark- Accent 1"/>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65">
    <w:name w:val="Grid Table 5 Dark - Accent 2"/>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66">
    <w:name w:val="Grid Table 5 Dark - Accent 3"/>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67">
    <w:name w:val="Grid Table 5 Dark- Accent 4"/>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68">
    <w:name w:val="Grid Table 5 Dark - Accent 5"/>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69">
    <w:name w:val="Grid Table 5 Dark - Accent 6"/>
    <w:basedOn w:val="20"/>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0">
    <w:name w:val="Grid Table 6 Colorful"/>
    <w:basedOn w:val="20"/>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1">
    <w:name w:val="Grid Table 6 Colorful - Accent 1"/>
    <w:basedOn w:val="20"/>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2">
    <w:name w:val="Grid Table 6 Colorful - Accent 2"/>
    <w:basedOn w:val="20"/>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3">
    <w:name w:val="Grid Table 6 Colorful - Accent 3"/>
    <w:basedOn w:val="20"/>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4">
    <w:name w:val="Grid Table 6 Colorful - Accent 4"/>
    <w:basedOn w:val="20"/>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75">
    <w:name w:val="Grid Table 6 Colorful - Accent 5"/>
    <w:basedOn w:val="20"/>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6">
    <w:name w:val="Grid Table 6 Colorful - Accent 6"/>
    <w:basedOn w:val="20"/>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7">
    <w:name w:val="Grid Table 7 Colorful"/>
    <w:basedOn w:val="20"/>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7 Colorful - Accent 1"/>
    <w:basedOn w:val="20"/>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7 Colorful - Accent 2"/>
    <w:basedOn w:val="20"/>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7 Colorful - Accent 3"/>
    <w:basedOn w:val="20"/>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7 Colorful - Accent 4"/>
    <w:basedOn w:val="20"/>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7 Colorful - Accent 5"/>
    <w:basedOn w:val="20"/>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7 Colorful - Accent 6"/>
    <w:basedOn w:val="20"/>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4">
    <w:name w:val="List Table 1 Light"/>
    <w:basedOn w:val="20"/>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5">
    <w:name w:val="List Table 1 Light - Accent 1"/>
    <w:basedOn w:val="20"/>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86">
    <w:name w:val="List Table 1 Light - Accent 2"/>
    <w:basedOn w:val="20"/>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87">
    <w:name w:val="List Table 1 Light - Accent 3"/>
    <w:basedOn w:val="20"/>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88">
    <w:name w:val="List Table 1 Light - Accent 4"/>
    <w:basedOn w:val="20"/>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89">
    <w:name w:val="List Table 1 Light - Accent 5"/>
    <w:basedOn w:val="20"/>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0">
    <w:name w:val="List Table 1 Light - Accent 6"/>
    <w:basedOn w:val="20"/>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1">
    <w:name w:val="List Table 2"/>
    <w:basedOn w:val="20"/>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2">
    <w:name w:val="List Table 2 - Accent 1"/>
    <w:basedOn w:val="20"/>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3">
    <w:name w:val="List Table 2 - Accent 2"/>
    <w:basedOn w:val="20"/>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4">
    <w:name w:val="List Table 2 - Accent 3"/>
    <w:basedOn w:val="20"/>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5">
    <w:name w:val="List Table 2 - Accent 4"/>
    <w:basedOn w:val="20"/>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6">
    <w:name w:val="List Table 2 - Accent 5"/>
    <w:basedOn w:val="20"/>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7">
    <w:name w:val="List Table 2 - Accent 6"/>
    <w:basedOn w:val="20"/>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8">
    <w:name w:val="List Table 3"/>
    <w:basedOn w:val="20"/>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99">
    <w:name w:val="List Table 3 - Accent 1"/>
    <w:basedOn w:val="20"/>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0">
    <w:name w:val="List Table 3 - Accent 2"/>
    <w:basedOn w:val="20"/>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1">
    <w:name w:val="List Table 3 - Accent 3"/>
    <w:basedOn w:val="20"/>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2">
    <w:name w:val="List Table 3 - Accent 4"/>
    <w:basedOn w:val="20"/>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3">
    <w:name w:val="List Table 3 - Accent 5"/>
    <w:basedOn w:val="20"/>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4">
    <w:name w:val="List Table 3 - Accent 6"/>
    <w:basedOn w:val="20"/>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05">
    <w:name w:val="List Table 4"/>
    <w:basedOn w:val="20"/>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6">
    <w:name w:val="List Table 4 - Accent 1"/>
    <w:basedOn w:val="20"/>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07">
    <w:name w:val="List Table 4 - Accent 2"/>
    <w:basedOn w:val="20"/>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08">
    <w:name w:val="List Table 4 - Accent 3"/>
    <w:basedOn w:val="20"/>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09">
    <w:name w:val="List Table 4 - Accent 4"/>
    <w:basedOn w:val="20"/>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0">
    <w:name w:val="List Table 4 - Accent 5"/>
    <w:basedOn w:val="20"/>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1">
    <w:name w:val="List Table 4 - Accent 6"/>
    <w:basedOn w:val="20"/>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2">
    <w:name w:val="List Table 5 Dark"/>
    <w:basedOn w:val="20"/>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3">
    <w:name w:val="List Table 5 Dark - Accent 1"/>
    <w:basedOn w:val="20"/>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4">
    <w:name w:val="List Table 5 Dark - Accent 2"/>
    <w:basedOn w:val="20"/>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15">
    <w:name w:val="List Table 5 Dark - Accent 3"/>
    <w:basedOn w:val="20"/>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16">
    <w:name w:val="List Table 5 Dark - Accent 4"/>
    <w:basedOn w:val="20"/>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17">
    <w:name w:val="List Table 5 Dark - Accent 5"/>
    <w:basedOn w:val="20"/>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18">
    <w:name w:val="List Table 5 Dark - Accent 6"/>
    <w:basedOn w:val="20"/>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19">
    <w:name w:val="List Table 6 Colorful"/>
    <w:basedOn w:val="20"/>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0">
    <w:name w:val="List Table 6 Colorful - Accent 1"/>
    <w:basedOn w:val="20"/>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1">
    <w:name w:val="List Table 6 Colorful - Accent 2"/>
    <w:basedOn w:val="20"/>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2">
    <w:name w:val="List Table 6 Colorful - Accent 3"/>
    <w:basedOn w:val="20"/>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3">
    <w:name w:val="List Table 6 Colorful - Accent 4"/>
    <w:basedOn w:val="20"/>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4">
    <w:name w:val="List Table 6 Colorful - Accent 5"/>
    <w:basedOn w:val="20"/>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25">
    <w:name w:val="List Table 6 Colorful - Accent 6"/>
    <w:basedOn w:val="20"/>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26">
    <w:name w:val="List Table 7 Colorful"/>
    <w:basedOn w:val="20"/>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27">
    <w:name w:val="List Table 7 Colorful - Accent 1"/>
    <w:basedOn w:val="20"/>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7 Colorful - Accent 2"/>
    <w:basedOn w:val="20"/>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7 Colorful - Accent 3"/>
    <w:basedOn w:val="20"/>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7 Colorful - Accent 4"/>
    <w:basedOn w:val="20"/>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7 Colorful - Accent 5"/>
    <w:basedOn w:val="20"/>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7 Colorful - Accent 6"/>
    <w:basedOn w:val="20"/>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ned - Accent"/>
    <w:basedOn w:val="20"/>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4">
    <w:name w:val="Lined - Accent 1"/>
    <w:basedOn w:val="20"/>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35">
    <w:name w:val="Lined - Accent 2"/>
    <w:basedOn w:val="20"/>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36">
    <w:name w:val="Lined - Accent 3"/>
    <w:basedOn w:val="20"/>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37">
    <w:name w:val="Lined - Accent 4"/>
    <w:basedOn w:val="20"/>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38">
    <w:name w:val="Lined - Accent 5"/>
    <w:basedOn w:val="20"/>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39">
    <w:name w:val="Lined - Accent 6"/>
    <w:basedOn w:val="20"/>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0">
    <w:name w:val="Bordered &amp; Lined - Accent"/>
    <w:basedOn w:val="20"/>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1">
    <w:name w:val="Bordered &amp; Lined - Accent 1"/>
    <w:basedOn w:val="20"/>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2">
    <w:name w:val="Bordered &amp; Lined - Accent 2"/>
    <w:basedOn w:val="20"/>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3">
    <w:name w:val="Bordered &amp; Lined - Accent 3"/>
    <w:basedOn w:val="20"/>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4">
    <w:name w:val="Bordered &amp; Lined - Accent 4"/>
    <w:basedOn w:val="20"/>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5">
    <w:name w:val="Bordered &amp; Lined - Accent 5"/>
    <w:basedOn w:val="20"/>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6">
    <w:name w:val="Bordered &amp; Lined - Accent 6"/>
    <w:basedOn w:val="20"/>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7">
    <w:name w:val="Bordered"/>
    <w:basedOn w:val="20"/>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48">
    <w:name w:val="Bordered - Accent 1"/>
    <w:basedOn w:val="20"/>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49">
    <w:name w:val="Bordered - Accent 2"/>
    <w:basedOn w:val="20"/>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0">
    <w:name w:val="Bordered - Accent 3"/>
    <w:basedOn w:val="20"/>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1">
    <w:name w:val="Bordered - Accent 4"/>
    <w:basedOn w:val="20"/>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2">
    <w:name w:val="Bordered - Accent 5"/>
    <w:basedOn w:val="20"/>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3">
    <w:name w:val="Bordered - Accent 6"/>
    <w:basedOn w:val="20"/>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4">
    <w:name w:val="Heading 1 Char"/>
    <w:basedOn w:val="22"/>
    <w:link w:val="2"/>
    <w:qFormat/>
    <w:uiPriority w:val="9"/>
    <w:rPr>
      <w:rFonts w:ascii="Arial" w:hAnsi="Arial" w:eastAsia="Arial" w:cs="Arial"/>
      <w:color w:val="2E75B6" w:themeColor="accent1" w:themeShade="BF"/>
      <w:sz w:val="40"/>
      <w:szCs w:val="40"/>
    </w:rPr>
  </w:style>
  <w:style w:type="character" w:customStyle="1" w:styleId="155">
    <w:name w:val="Heading 2 Char"/>
    <w:basedOn w:val="22"/>
    <w:link w:val="3"/>
    <w:qFormat/>
    <w:uiPriority w:val="9"/>
    <w:rPr>
      <w:rFonts w:ascii="Arial" w:hAnsi="Arial" w:eastAsia="Arial" w:cs="Arial"/>
      <w:color w:val="2E75B6" w:themeColor="accent1" w:themeShade="BF"/>
      <w:sz w:val="32"/>
      <w:szCs w:val="32"/>
    </w:rPr>
  </w:style>
  <w:style w:type="character" w:customStyle="1" w:styleId="156">
    <w:name w:val="Heading 3 Char"/>
    <w:basedOn w:val="22"/>
    <w:link w:val="4"/>
    <w:qFormat/>
    <w:uiPriority w:val="9"/>
    <w:rPr>
      <w:rFonts w:ascii="Arial" w:hAnsi="Arial" w:eastAsia="Arial" w:cs="Arial"/>
      <w:color w:val="2E75B6" w:themeColor="accent1" w:themeShade="BF"/>
      <w:sz w:val="28"/>
      <w:szCs w:val="28"/>
    </w:rPr>
  </w:style>
  <w:style w:type="character" w:customStyle="1" w:styleId="157">
    <w:name w:val="Heading 4 Char"/>
    <w:basedOn w:val="22"/>
    <w:link w:val="5"/>
    <w:qFormat/>
    <w:uiPriority w:val="9"/>
    <w:rPr>
      <w:rFonts w:ascii="Arial" w:hAnsi="Arial" w:eastAsia="Arial" w:cs="Arial"/>
      <w:i/>
      <w:iCs/>
      <w:color w:val="2E75B6" w:themeColor="accent1" w:themeShade="BF"/>
    </w:rPr>
  </w:style>
  <w:style w:type="character" w:customStyle="1" w:styleId="158">
    <w:name w:val="Heading 5 Char"/>
    <w:basedOn w:val="22"/>
    <w:link w:val="6"/>
    <w:qFormat/>
    <w:uiPriority w:val="9"/>
    <w:rPr>
      <w:rFonts w:ascii="Arial" w:hAnsi="Arial" w:eastAsia="Arial" w:cs="Arial"/>
      <w:color w:val="2E75B6" w:themeColor="accent1" w:themeShade="BF"/>
    </w:rPr>
  </w:style>
  <w:style w:type="character" w:customStyle="1" w:styleId="159">
    <w:name w:val="Heading 6 Char"/>
    <w:basedOn w:val="22"/>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0">
    <w:name w:val="Heading 7 Char"/>
    <w:basedOn w:val="22"/>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1">
    <w:name w:val="Heading 8 Char"/>
    <w:basedOn w:val="22"/>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2">
    <w:name w:val="Heading 9 Char"/>
    <w:basedOn w:val="22"/>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3">
    <w:name w:val="Title Char"/>
    <w:basedOn w:val="22"/>
    <w:link w:val="19"/>
    <w:qFormat/>
    <w:uiPriority w:val="10"/>
    <w:rPr>
      <w:rFonts w:ascii="Arial" w:hAnsi="Arial" w:eastAsia="Arial" w:cs="Arial"/>
      <w:spacing w:val="-10"/>
      <w:sz w:val="56"/>
      <w:szCs w:val="56"/>
    </w:rPr>
  </w:style>
  <w:style w:type="character" w:customStyle="1" w:styleId="164">
    <w:name w:val="Subtitle Char"/>
    <w:basedOn w:val="22"/>
    <w:link w:val="16"/>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5">
    <w:name w:val="Quote"/>
    <w:basedOn w:val="1"/>
    <w:next w:val="1"/>
    <w:link w:val="16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22"/>
    <w:link w:val="165"/>
    <w:qFormat/>
    <w:uiPriority w:val="29"/>
    <w:rPr>
      <w:i/>
      <w:iCs/>
      <w:color w:val="404040" w:themeColor="text1" w:themeTint="BF"/>
      <w14:textFill>
        <w14:solidFill>
          <w14:schemeClr w14:val="tx1">
            <w14:lumMod w14:val="75000"/>
            <w14:lumOff w14:val="25000"/>
          </w14:schemeClr>
        </w14:solidFill>
      </w14:textFill>
    </w:rPr>
  </w:style>
  <w:style w:type="paragraph" w:styleId="167">
    <w:name w:val="List Paragraph"/>
    <w:basedOn w:val="1"/>
    <w:qFormat/>
    <w:uiPriority w:val="34"/>
    <w:pPr>
      <w:ind w:left="720"/>
      <w:contextualSpacing/>
    </w:pPr>
  </w:style>
  <w:style w:type="character" w:customStyle="1" w:styleId="168">
    <w:name w:val="Intense Emphasis"/>
    <w:basedOn w:val="22"/>
    <w:qFormat/>
    <w:uiPriority w:val="21"/>
    <w:rPr>
      <w:i/>
      <w:iCs/>
      <w:color w:val="2E75B6" w:themeColor="accent1" w:themeShade="BF"/>
    </w:rPr>
  </w:style>
  <w:style w:type="paragraph" w:styleId="169">
    <w:name w:val="Intense Quote"/>
    <w:basedOn w:val="1"/>
    <w:next w:val="1"/>
    <w:link w:val="170"/>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0">
    <w:name w:val="Intense Quote Char"/>
    <w:basedOn w:val="22"/>
    <w:link w:val="169"/>
    <w:qFormat/>
    <w:uiPriority w:val="30"/>
    <w:rPr>
      <w:i/>
      <w:iCs/>
      <w:color w:val="2E75B6" w:themeColor="accent1" w:themeShade="BF"/>
    </w:rPr>
  </w:style>
  <w:style w:type="character" w:customStyle="1" w:styleId="171">
    <w:name w:val="Intense Reference"/>
    <w:basedOn w:val="22"/>
    <w:qFormat/>
    <w:uiPriority w:val="32"/>
    <w:rPr>
      <w:b/>
      <w:bCs/>
      <w:smallCaps/>
      <w:color w:val="2E75B6" w:themeColor="accent1" w:themeShade="BF"/>
      <w:spacing w:val="5"/>
    </w:rPr>
  </w:style>
  <w:style w:type="paragraph" w:styleId="172">
    <w:name w:val="No Spacing"/>
    <w:basedOn w:val="1"/>
    <w:qFormat/>
    <w:uiPriority w:val="1"/>
    <w:pPr>
      <w:spacing w:after="0" w:line="240" w:lineRule="auto"/>
    </w:pPr>
  </w:style>
  <w:style w:type="character" w:customStyle="1" w:styleId="173">
    <w:name w:val="Subtle Emphasis"/>
    <w:basedOn w:val="22"/>
    <w:qFormat/>
    <w:uiPriority w:val="19"/>
    <w:rPr>
      <w:i/>
      <w:iCs/>
      <w:color w:val="404040" w:themeColor="text1" w:themeTint="BF"/>
      <w14:textFill>
        <w14:solidFill>
          <w14:schemeClr w14:val="tx1">
            <w14:lumMod w14:val="75000"/>
            <w14:lumOff w14:val="25000"/>
          </w14:schemeClr>
        </w14:solidFill>
      </w14:textFill>
    </w:rPr>
  </w:style>
  <w:style w:type="character" w:customStyle="1" w:styleId="174">
    <w:name w:val="Subtle Reference"/>
    <w:basedOn w:val="2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5">
    <w:name w:val="Book Title"/>
    <w:basedOn w:val="22"/>
    <w:qFormat/>
    <w:uiPriority w:val="33"/>
    <w:rPr>
      <w:b/>
      <w:bCs/>
      <w:i/>
      <w:iCs/>
      <w:spacing w:val="5"/>
    </w:rPr>
  </w:style>
  <w:style w:type="character" w:customStyle="1" w:styleId="176">
    <w:name w:val="Header Char"/>
    <w:basedOn w:val="22"/>
    <w:link w:val="15"/>
    <w:qFormat/>
    <w:uiPriority w:val="99"/>
  </w:style>
  <w:style w:type="character" w:customStyle="1" w:styleId="177">
    <w:name w:val="Footer Char"/>
    <w:basedOn w:val="22"/>
    <w:link w:val="14"/>
    <w:qFormat/>
    <w:uiPriority w:val="99"/>
  </w:style>
  <w:style w:type="character" w:customStyle="1" w:styleId="178">
    <w:name w:val="Footnote Text Char"/>
    <w:basedOn w:val="22"/>
    <w:link w:val="17"/>
    <w:semiHidden/>
    <w:qFormat/>
    <w:uiPriority w:val="99"/>
    <w:rPr>
      <w:sz w:val="20"/>
      <w:szCs w:val="20"/>
    </w:rPr>
  </w:style>
  <w:style w:type="character" w:customStyle="1" w:styleId="179">
    <w:name w:val="Endnote Text Char"/>
    <w:basedOn w:val="22"/>
    <w:link w:val="13"/>
    <w:semiHidden/>
    <w:qFormat/>
    <w:uiPriority w:val="99"/>
    <w:rPr>
      <w:sz w:val="20"/>
      <w:szCs w:val="20"/>
    </w:rPr>
  </w:style>
  <w:style w:type="paragraph" w:customStyle="1" w:styleId="180">
    <w:name w:val="TOC Heading"/>
    <w:unhideWhenUsed/>
    <w:qFormat/>
    <w:uiPriority w:val="39"/>
    <w:rPr>
      <w:rFonts w:hint="default" w:ascii="Times New Roman" w:hAnsi="Times New Roman" w:eastAsia="宋体" w:cs="Times New Roman"/>
    </w:rPr>
  </w:style>
  <w:style w:type="paragraph" w:customStyle="1" w:styleId="181">
    <w:name w:val="Default"/>
    <w:qFormat/>
    <w:uiPriority w:val="0"/>
    <w:pPr>
      <w:widowControl w:val="0"/>
    </w:pPr>
    <w:rPr>
      <w:rFonts w:hint="default"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ScaleCrop>false</ScaleCrop>
  <LinksUpToDate>false</LinksUpToDate>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2025-08-20T10:30:00Z</dcterms:created>
  <dc:creator>hxlcliuyu01</dc:creator>
  <cp:lastModifiedBy>马宁</cp:lastModifiedBy>
  <dcterms:modified xsi:type="dcterms:W3CDTF">2026-01-30T05:50:44Z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22B220A577DB4B46B09269FCB7726688</vt:lpwstr>
  </property>
</Properties>
</file>