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spacing w:line="400" w:lineRule="exact"/>
        <w:ind w:left="0" w:right="0"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华夏理财固定收益纯债型日日开理财产品1号说明书</w:t>
      </w:r>
    </w:p>
    <w:p>
      <w:pPr>
        <w:pStyle w:val="13"/>
        <w:keepNext w:val="0"/>
        <w:keepLines w:val="0"/>
        <w:pageBreakBefore w:val="0"/>
        <w:widowControl w:val="0"/>
        <w:bidi w:val="0"/>
        <w:spacing w:line="400" w:lineRule="exact"/>
        <w:ind w:firstLine="0"/>
        <w:jc w:val="center"/>
        <w:rPr>
          <w:rFonts w:hint="eastAsia" w:ascii="黑体" w:hAnsi="黑体" w:eastAsia="黑体" w:cs="黑体"/>
          <w:b/>
          <w:bCs w:val="0"/>
          <w:sz w:val="28"/>
          <w:szCs w:val="28"/>
          <w:highlight w:val="none"/>
        </w:rPr>
      </w:pPr>
      <w:r>
        <w:rPr>
          <w:rFonts w:hint="eastAsia" w:ascii="黑体" w:hAnsi="黑体" w:eastAsia="黑体" w:cs="黑体"/>
          <w:b/>
          <w:bCs w:val="0"/>
          <w:sz w:val="28"/>
          <w:szCs w:val="28"/>
          <w:highlight w:val="none"/>
          <w:lang w:val="en-US" w:eastAsia="zh-CN"/>
        </w:rPr>
        <w:t>登记编码：</w:t>
      </w:r>
      <w:r>
        <w:rPr>
          <w:rFonts w:hint="eastAsia" w:ascii="黑体" w:hAnsi="黑体" w:eastAsia="黑体" w:cs="黑体"/>
          <w:b/>
          <w:bCs w:val="0"/>
          <w:sz w:val="28"/>
          <w:szCs w:val="28"/>
          <w:highlight w:val="none"/>
          <w:u w:val="none"/>
        </w:rPr>
        <w:t>Z7003921000744</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ascii="黑体" w:hAnsi="黑体" w:eastAsia="黑体"/>
                <w:b/>
                <w:sz w:val="28"/>
                <w:szCs w:val="28"/>
                <w:highlight w:val="none"/>
                <w:u w:val="single"/>
              </w:rPr>
            </w:pPr>
            <w:r>
              <w:rPr>
                <w:rFonts w:hint="eastAsia" w:ascii="黑体" w:hAnsi="黑体" w:eastAsia="黑体" w:cs="黑体"/>
                <w:b/>
                <w:bCs w:val="0"/>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如有</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w:t>
            </w:r>
            <w:r>
              <w:rPr>
                <w:rFonts w:hint="eastAsia" w:ascii="黑体" w:hAnsi="黑体" w:eastAsia="黑体"/>
                <w:b/>
                <w:sz w:val="28"/>
                <w:szCs w:val="28"/>
                <w:highlight w:val="none"/>
                <w:u w:val="single"/>
                <w:lang w:val="en-US" w:eastAsia="zh-CN"/>
              </w:rPr>
              <w:t>本理财产品</w:t>
            </w:r>
            <w:r>
              <w:rPr>
                <w:rFonts w:hint="eastAsia" w:ascii="黑体" w:hAnsi="黑体" w:eastAsia="黑体"/>
                <w:b/>
                <w:sz w:val="28"/>
                <w:szCs w:val="28"/>
                <w:highlight w:val="none"/>
                <w:u w:val="single"/>
              </w:rPr>
              <w:t>登记编码在中国理财网（www.chinawealth.com.cn）查询产品信息</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cs="黑体"/>
                <w:b/>
                <w:bCs w:val="0"/>
                <w:sz w:val="28"/>
                <w:szCs w:val="28"/>
                <w:highlight w:val="none"/>
                <w:u w:val="single"/>
              </w:rPr>
              <w:t>五、本说明书在法律许可的范围内由华夏理财方负责解释。</w:t>
            </w:r>
          </w:p>
        </w:tc>
      </w:tr>
    </w:tbl>
    <w:p>
      <w:pPr>
        <w:pStyle w:val="188"/>
        <w:keepNext/>
        <w:keepLines w:val="0"/>
        <w:pageBreakBefore w:val="0"/>
        <w:widowControl w:val="0"/>
        <w:kinsoku/>
        <w:wordWrap/>
        <w:overflowPunct/>
        <w:topLinePunct w:val="0"/>
        <w:autoSpaceDE/>
        <w:autoSpaceDN/>
        <w:bidi w:val="0"/>
        <w:adjustRightInd/>
        <w:snapToGrid/>
        <w:spacing w:before="0" w:beforeLines="15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一、</w:t>
      </w:r>
      <w:r>
        <w:rPr>
          <w:rFonts w:ascii="Times New Roman" w:eastAsia="黑体" w:cs="Times New Roman"/>
          <w:b/>
          <w:color w:val="auto"/>
          <w:highlight w:val="none"/>
        </w:rPr>
        <w:t>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华夏理财固定收益纯债型日日开理财产品1号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val="en-US" w:eastAsia="zh-CN"/>
              </w:rPr>
            </w:pPr>
            <w:r>
              <w:rPr>
                <w:rFonts w:ascii="仿宋" w:hAnsi="仿宋" w:eastAsia="仿宋"/>
                <w:b/>
                <w:bCs/>
                <w:szCs w:val="21"/>
                <w:highlight w:val="none"/>
              </w:rPr>
              <w:t>A份额简称：“华夏理财纯债日开1号（同业存单及存款）A”</w:t>
            </w:r>
            <w:r>
              <w:rPr>
                <w:rFonts w:ascii="仿宋" w:hAnsi="仿宋" w:eastAsia="仿宋"/>
                <w:b/>
                <w:bCs/>
                <w:szCs w:val="21"/>
                <w:highlight w:val="none"/>
              </w:rPr>
              <w:br w:type="textWrapping"/>
            </w:r>
            <w:r>
              <w:rPr>
                <w:rFonts w:ascii="仿宋" w:hAnsi="仿宋" w:eastAsia="仿宋"/>
                <w:b/>
                <w:bCs/>
                <w:szCs w:val="21"/>
                <w:highlight w:val="none"/>
              </w:rPr>
              <w:t>D份额简称：“华夏理财固收纯债日开1号（同业存单及存款）D”</w:t>
            </w:r>
            <w:r>
              <w:rPr>
                <w:rFonts w:ascii="仿宋" w:hAnsi="仿宋" w:eastAsia="仿宋"/>
                <w:b/>
                <w:bCs/>
                <w:szCs w:val="21"/>
                <w:highlight w:val="none"/>
              </w:rPr>
              <w:br w:type="textWrapping"/>
            </w:r>
            <w:r>
              <w:rPr>
                <w:rFonts w:ascii="仿宋" w:hAnsi="仿宋" w:eastAsia="仿宋"/>
                <w:b/>
                <w:bCs/>
                <w:szCs w:val="21"/>
                <w:highlight w:val="none"/>
              </w:rPr>
              <w:t>G份额简称：“华夏理财纯债日开1号（同业存单及存款）G”</w:t>
            </w:r>
            <w:r>
              <w:rPr>
                <w:rFonts w:ascii="仿宋" w:hAnsi="仿宋" w:eastAsia="仿宋"/>
                <w:b/>
                <w:bCs/>
                <w:szCs w:val="21"/>
                <w:highlight w:val="none"/>
              </w:rPr>
              <w:br w:type="textWrapping"/>
            </w:r>
            <w:r>
              <w:rPr>
                <w:rFonts w:ascii="仿宋" w:hAnsi="仿宋" w:eastAsia="仿宋"/>
                <w:b/>
                <w:bCs/>
                <w:szCs w:val="21"/>
                <w:highlight w:val="none"/>
              </w:rPr>
              <w:t>H份额简称：“华夏理财纯债日开1号（同业存单及存款）H”</w:t>
            </w:r>
            <w:r>
              <w:rPr>
                <w:rFonts w:ascii="仿宋" w:hAnsi="仿宋" w:eastAsia="仿宋"/>
                <w:b/>
                <w:bCs/>
                <w:szCs w:val="21"/>
                <w:highlight w:val="none"/>
              </w:rPr>
              <w:br w:type="textWrapping"/>
            </w:r>
            <w:r>
              <w:rPr>
                <w:rFonts w:ascii="仿宋" w:hAnsi="仿宋" w:eastAsia="仿宋"/>
                <w:b/>
                <w:bCs/>
                <w:szCs w:val="21"/>
                <w:highlight w:val="none"/>
              </w:rPr>
              <w:t>K份额简称：“华夏理财纯债日开1号（同业存单及存款）K”</w:t>
            </w:r>
            <w:r>
              <w:rPr>
                <w:rFonts w:ascii="仿宋" w:hAnsi="仿宋" w:eastAsia="仿宋"/>
                <w:b/>
                <w:bCs/>
                <w:szCs w:val="21"/>
                <w:highlight w:val="none"/>
              </w:rPr>
              <w:br w:type="textWrapping"/>
            </w:r>
            <w:r>
              <w:rPr>
                <w:rFonts w:ascii="仿宋" w:hAnsi="仿宋" w:eastAsia="仿宋"/>
                <w:b/>
                <w:bCs/>
                <w:szCs w:val="21"/>
                <w:highlight w:val="none"/>
              </w:rPr>
              <w:t>Z份额简称：“华夏理财纯债日开1号（同业存单及存款）Z”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21112001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A份额代码：21112001A</w:t>
            </w:r>
            <w:r>
              <w:rPr>
                <w:rFonts w:ascii="仿宋" w:hAnsi="仿宋" w:eastAsia="仿宋"/>
                <w:bCs/>
                <w:szCs w:val="21"/>
                <w:highlight w:val="none"/>
                <w:u w:val="none"/>
              </w:rPr>
              <w:br w:type="textWrapping"/>
            </w:r>
            <w:r>
              <w:rPr>
                <w:rFonts w:ascii="仿宋" w:hAnsi="仿宋" w:eastAsia="仿宋"/>
                <w:bCs/>
                <w:szCs w:val="21"/>
                <w:highlight w:val="none"/>
                <w:u w:val="none"/>
              </w:rPr>
              <w:t>D份额代码：21112001D</w:t>
            </w:r>
            <w:r>
              <w:rPr>
                <w:rFonts w:hint="eastAsia" w:ascii="仿宋" w:hAnsi="仿宋" w:eastAsia="仿宋"/>
                <w:bCs/>
                <w:szCs w:val="21"/>
                <w:highlight w:val="none"/>
              </w:rPr>
              <w:t>（招商银行个人销售代码：HX030201，</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hint="eastAsia" w:ascii="仿宋" w:hAnsi="仿宋" w:eastAsia="仿宋"/>
                <w:bCs/>
                <w:szCs w:val="21"/>
                <w:highlight w:val="none"/>
              </w:rPr>
              <w:t>招商银行机构销售代码：HX200102）</w:t>
            </w:r>
            <w:r>
              <w:rPr>
                <w:rFonts w:ascii="仿宋" w:hAnsi="仿宋" w:eastAsia="仿宋"/>
                <w:bCs/>
                <w:szCs w:val="21"/>
                <w:highlight w:val="none"/>
                <w:u w:val="none"/>
              </w:rPr>
              <w:br w:type="textWrapping"/>
            </w:r>
            <w:r>
              <w:rPr>
                <w:rFonts w:ascii="仿宋" w:hAnsi="仿宋" w:eastAsia="仿宋"/>
                <w:bCs/>
                <w:szCs w:val="21"/>
                <w:highlight w:val="none"/>
                <w:u w:val="none"/>
              </w:rPr>
              <w:t>G份额代码：21112001G</w:t>
            </w:r>
            <w:r>
              <w:rPr>
                <w:rFonts w:ascii="仿宋" w:hAnsi="仿宋" w:eastAsia="仿宋"/>
                <w:bCs/>
                <w:szCs w:val="21"/>
                <w:highlight w:val="none"/>
                <w:u w:val="none"/>
              </w:rPr>
              <w:br w:type="textWrapping"/>
            </w:r>
            <w:r>
              <w:rPr>
                <w:rFonts w:ascii="仿宋" w:hAnsi="仿宋" w:eastAsia="仿宋"/>
                <w:bCs/>
                <w:szCs w:val="21"/>
                <w:highlight w:val="none"/>
                <w:u w:val="none"/>
              </w:rPr>
              <w:t>H份额代码：21112001H</w:t>
            </w:r>
            <w:r>
              <w:rPr>
                <w:rFonts w:ascii="仿宋" w:hAnsi="仿宋" w:eastAsia="仿宋"/>
                <w:bCs/>
                <w:szCs w:val="21"/>
                <w:highlight w:val="none"/>
                <w:u w:val="none"/>
              </w:rPr>
              <w:br w:type="textWrapping"/>
            </w:r>
            <w:r>
              <w:rPr>
                <w:rFonts w:ascii="仿宋" w:hAnsi="仿宋" w:eastAsia="仿宋"/>
                <w:bCs/>
                <w:szCs w:val="21"/>
                <w:highlight w:val="none"/>
                <w:u w:val="none"/>
              </w:rPr>
              <w:t>K份额代码：21112001K</w:t>
            </w:r>
            <w:r>
              <w:rPr>
                <w:rFonts w:ascii="仿宋" w:hAnsi="仿宋" w:eastAsia="仿宋"/>
                <w:bCs/>
                <w:szCs w:val="21"/>
                <w:highlight w:val="none"/>
                <w:u w:val="none"/>
              </w:rPr>
              <w:br w:type="textWrapping"/>
            </w:r>
            <w:r>
              <w:rPr>
                <w:rFonts w:ascii="仿宋" w:hAnsi="仿宋" w:eastAsia="仿宋"/>
                <w:bCs/>
                <w:szCs w:val="21"/>
                <w:highlight w:val="none"/>
                <w:u w:val="none"/>
              </w:rPr>
              <w:t>Z份额代码：21112001Z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Z7003921000744</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
                <w:bCs w:val="0"/>
                <w:szCs w:val="21"/>
                <w:highlight w:val="none"/>
                <w:lang w:val="en-US" w:eastAsia="zh-CN"/>
              </w:rPr>
              <w:t>本理财产品存续期内，华夏理财有权根据市场变化调整产品风险评级，并至少于生效前3个工作日通过本产品说明书约定的信息披露渠道进行公告</w:t>
            </w:r>
            <w:r>
              <w:rPr>
                <w:rFonts w:hint="eastAsia" w:ascii="仿宋" w:hAnsi="仿宋" w:eastAsia="仿宋"/>
                <w:b/>
                <w:szCs w:val="21"/>
                <w:highlight w:val="none"/>
              </w:rPr>
              <w:t>；如本理财产品的产品风险评级在存续期内发生调整，投资者可以根据销售机构调整并披露的适当性匹配意见自行决定是否在开放期申请赎回理财产品份额</w:t>
            </w:r>
            <w:r>
              <w:rPr>
                <w:rFonts w:hint="eastAsia" w:ascii="仿宋" w:hAnsi="仿宋" w:eastAsia="仿宋"/>
                <w:b/>
                <w:bCs w:val="0"/>
                <w:szCs w:val="21"/>
                <w:highlight w:val="none"/>
                <w:lang w:val="en-US" w:eastAsia="zh-CN"/>
              </w:rPr>
              <w:t>。</w:t>
            </w:r>
          </w:p>
          <w:p>
            <w:pPr>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lang w:val="en-US" w:eastAsia="zh-CN"/>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lang w:eastAsia="zh-CN"/>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lang w:eastAsia="zh-CN"/>
              </w:rPr>
              <w:t>】</w:t>
            </w:r>
            <w:r>
              <w:rPr>
                <w:rFonts w:hint="eastAsia" w:ascii="仿宋" w:hAnsi="仿宋" w:eastAsia="仿宋"/>
                <w:bCs/>
                <w:szCs w:val="21"/>
                <w:highlight w:val="none"/>
              </w:rPr>
              <w:t>的</w:t>
            </w:r>
            <w:r>
              <w:rPr>
                <w:rFonts w:hint="eastAsia" w:ascii="仿宋" w:hAnsi="仿宋" w:eastAsia="仿宋"/>
                <w:bCs/>
                <w:szCs w:val="21"/>
                <w:highlight w:val="none"/>
                <w:lang w:val="en-US" w:eastAsia="zh-CN"/>
              </w:rPr>
              <w:t>普通</w:t>
            </w:r>
            <w:r>
              <w:rPr>
                <w:rFonts w:hint="eastAsia" w:ascii="仿宋" w:hAnsi="仿宋" w:eastAsia="仿宋"/>
                <w:bCs/>
                <w:szCs w:val="21"/>
                <w:highlight w:val="none"/>
              </w:rPr>
              <w:t>投资者</w:t>
            </w:r>
            <w:r>
              <w:rPr>
                <w:rFonts w:hint="eastAsia" w:ascii="仿宋" w:hAnsi="仿宋" w:eastAsia="仿宋"/>
                <w:bCs/>
                <w:szCs w:val="21"/>
                <w:highlight w:val="none"/>
                <w:lang w:val="en-US" w:eastAsia="zh-CN"/>
              </w:rPr>
              <w:t>和专业投资者</w:t>
            </w:r>
            <w:r>
              <w:rPr>
                <w:rFonts w:hint="eastAsia" w:ascii="仿宋" w:hAnsi="仿宋" w:eastAsia="仿宋"/>
                <w:bCs/>
                <w:szCs w:val="21"/>
                <w:highlight w:val="none"/>
              </w:rPr>
              <w:t>。</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ascii="仿宋" w:hAnsi="仿宋" w:eastAsia="仿宋"/>
                <w:bCs/>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color w:val="000000"/>
                <w:szCs w:val="21"/>
                <w:highlight w:val="none"/>
                <w:lang w:val="en-US" w:eastAsia="zh-CN"/>
              </w:rPr>
            </w:pPr>
            <w:r>
              <w:rPr>
                <w:rFonts w:hint="eastAsia" w:ascii="仿宋" w:hAnsi="仿宋" w:eastAsia="仿宋"/>
                <w:bCs/>
                <w:szCs w:val="21"/>
                <w:highlight w:val="none"/>
              </w:rPr>
              <w:t>A份额：业绩比较基准为1.45%-1.85%（年化）；D份额：业绩比较基准为1.47%-1.87%（年化）；G份额：业绩比较基准为1.60%-2.00%（年化）；H份额：业绩比较基准为1.45%-1.85%（年化）；K份额：业绩比较基准为1.52%-1.92%（年化）；Z份额：业绩比较基准为1.62%-2.02%（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同业存单及存款类资产仓位85%-100%，债券类资产仓位0-20%，组合杠杆率100%-105%为例，参考同业存单利率及定期存款利率、中债-信用债总财富指数，结合产品投资策略并扣除各项费用后，综合测算得出上述业绩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b/>
                <w:bCs w:val="0"/>
                <w:color w:val="000000"/>
                <w:szCs w:val="21"/>
                <w:highlight w:val="none"/>
              </w:rPr>
              <w:t>不是预期收益率，不代表产品的未来表现和实际收益，不构成对产品收益的承诺</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2022年7月18日－2022年7月20日</w:t>
            </w:r>
            <w:r>
              <w:rPr>
                <w:rFonts w:ascii="仿宋" w:hAnsi="仿宋" w:eastAsia="仿宋"/>
                <w:bCs/>
                <w:szCs w:val="21"/>
                <w:highlight w:val="none"/>
              </w:rPr>
              <w:t>（含）</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r>
              <w:rPr>
                <w:rFonts w:hint="eastAsia" w:ascii="仿宋" w:hAnsi="仿宋" w:eastAsia="仿宋"/>
                <w:bCs/>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2022年7月21日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jc w:val="left"/>
              <w:rPr>
                <w:highlight w:val="none"/>
              </w:rPr>
            </w:pPr>
            <w:r>
              <w:rPr>
                <w:rFonts w:hint="eastAsia" w:ascii="仿宋" w:hAnsi="仿宋" w:eastAsia="仿宋"/>
                <w:bCs/>
                <w:szCs w:val="21"/>
                <w:highlight w:val="none"/>
              </w:rPr>
              <w:t>产品成立日-</w:t>
            </w:r>
            <w:r>
              <w:rPr>
                <w:rFonts w:hint="eastAsia"/>
                <w:highlight w:val="none"/>
              </w:rPr>
              <w:t xml:space="preserve"> </w:t>
            </w:r>
            <w:r>
              <w:rPr>
                <w:rFonts w:hint="eastAsia" w:ascii="仿宋" w:hAnsi="仿宋" w:eastAsia="仿宋"/>
                <w:bCs/>
                <w:szCs w:val="21"/>
                <w:highlight w:val="none"/>
              </w:rPr>
              <w:t>2022年8月21日</w:t>
            </w:r>
            <w:r>
              <w:rPr>
                <w:rFonts w:ascii="仿宋" w:hAnsi="仿宋" w:eastAsia="仿宋"/>
                <w:bCs/>
                <w:szCs w:val="21"/>
                <w:highlight w:val="none"/>
              </w:rPr>
              <w:t>（含）</w:t>
            </w:r>
            <w:r>
              <w:rPr>
                <w:rFonts w:hint="eastAsia" w:ascii="仿宋" w:hAnsi="仿宋" w:eastAsia="仿宋"/>
                <w:bCs/>
                <w:szCs w:val="21"/>
                <w:highlight w:val="none"/>
              </w:rPr>
              <w:t>为建仓封闭期，建仓封闭期内不接受客户申购、赎回。</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szCs w:val="21"/>
                <w:highlight w:val="none"/>
              </w:rPr>
            </w:pPr>
            <w:r>
              <w:rPr>
                <w:rFonts w:ascii="仿宋" w:hAnsi="仿宋" w:eastAsia="仿宋"/>
                <w:b/>
                <w:bCs/>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cs="仿宋"/>
                <w:bCs/>
                <w:szCs w:val="21"/>
                <w:highlight w:val="none"/>
              </w:rPr>
              <w:t>发行</w:t>
            </w:r>
            <w:r>
              <w:rPr>
                <w:rFonts w:hint="eastAsia" w:ascii="仿宋" w:hAnsi="仿宋" w:eastAsia="仿宋" w:cs="仿宋"/>
                <w:bCs/>
                <w:szCs w:val="21"/>
                <w:highlight w:val="none"/>
                <w:lang w:val="en-US" w:eastAsia="zh-CN"/>
              </w:rPr>
              <w:t>/存续</w:t>
            </w:r>
            <w:r>
              <w:rPr>
                <w:rFonts w:hint="eastAsia" w:ascii="仿宋" w:hAnsi="仿宋" w:eastAsia="仿宋" w:cs="仿宋"/>
                <w:bCs/>
                <w:szCs w:val="21"/>
                <w:highlight w:val="none"/>
              </w:rPr>
              <w:t>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本产品计划发行规模下限为1万元。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个工作日内将已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rPr>
                <w:rFonts w:ascii="仿宋" w:hAnsi="仿宋" w:eastAsia="仿宋"/>
                <w:bCs/>
                <w:szCs w:val="21"/>
              </w:rPr>
            </w:pPr>
            <w:r>
              <w:rPr>
                <w:rFonts w:hint="eastAsia" w:ascii="仿宋" w:hAnsi="仿宋" w:eastAsia="仿宋"/>
                <w:bCs/>
                <w:szCs w:val="21"/>
              </w:rPr>
              <w:t>A份额：1元，以1元的</w:t>
            </w:r>
            <w:r>
              <w:rPr>
                <w:rFonts w:hint="eastAsia" w:ascii="仿宋" w:hAnsi="仿宋" w:eastAsia="仿宋"/>
              </w:rPr>
              <w:t>整数倍递增</w:t>
            </w:r>
            <w:r>
              <w:rPr>
                <w:rFonts w:hint="eastAsia" w:ascii="仿宋" w:hAnsi="仿宋" w:eastAsia="仿宋"/>
                <w:bCs/>
                <w:szCs w:val="21"/>
              </w:rPr>
              <w:t>。</w:t>
            </w:r>
          </w:p>
          <w:p>
            <w:pPr>
              <w:adjustRightInd w:val="0"/>
              <w:snapToGrid w:val="0"/>
              <w:spacing w:line="240" w:lineRule="atLeast"/>
              <w:ind w:firstLine="420" w:firstLineChars="200"/>
              <w:rPr>
                <w:rFonts w:ascii="仿宋" w:hAnsi="仿宋" w:eastAsia="仿宋"/>
                <w:bCs/>
                <w:szCs w:val="21"/>
              </w:rPr>
            </w:pPr>
            <w:r>
              <w:rPr>
                <w:rFonts w:ascii="仿宋" w:hAnsi="仿宋" w:eastAsia="仿宋"/>
                <w:bCs/>
                <w:szCs w:val="21"/>
              </w:rPr>
              <w:t>D</w:t>
            </w:r>
            <w:r>
              <w:rPr>
                <w:rFonts w:hint="eastAsia" w:ascii="仿宋" w:hAnsi="仿宋" w:eastAsia="仿宋"/>
                <w:bCs/>
                <w:szCs w:val="21"/>
              </w:rPr>
              <w:t>份额：1</w:t>
            </w:r>
            <w:r>
              <w:rPr>
                <w:rFonts w:ascii="仿宋" w:hAnsi="仿宋" w:eastAsia="仿宋"/>
                <w:bCs/>
                <w:szCs w:val="21"/>
              </w:rPr>
              <w:t>元，以</w:t>
            </w:r>
            <w:r>
              <w:rPr>
                <w:rFonts w:hint="eastAsia" w:ascii="仿宋" w:hAnsi="仿宋" w:eastAsia="仿宋"/>
                <w:bCs/>
                <w:szCs w:val="21"/>
              </w:rPr>
              <w:t>1</w:t>
            </w:r>
            <w:r>
              <w:rPr>
                <w:rFonts w:ascii="仿宋" w:hAnsi="仿宋" w:eastAsia="仿宋"/>
                <w:bCs/>
                <w:szCs w:val="21"/>
              </w:rPr>
              <w:t>元的整数倍递增</w:t>
            </w:r>
            <w:r>
              <w:rPr>
                <w:rFonts w:hint="eastAsia" w:ascii="仿宋" w:hAnsi="仿宋" w:eastAsia="仿宋"/>
                <w:bCs/>
                <w:szCs w:val="21"/>
              </w:rPr>
              <w:t>。</w:t>
            </w:r>
          </w:p>
          <w:p>
            <w:pPr>
              <w:adjustRightInd w:val="0"/>
              <w:snapToGrid w:val="0"/>
              <w:spacing w:line="240" w:lineRule="atLeast"/>
              <w:ind w:firstLine="420" w:firstLineChars="200"/>
              <w:rPr>
                <w:rFonts w:ascii="仿宋" w:hAnsi="仿宋" w:eastAsia="仿宋"/>
                <w:bCs/>
                <w:szCs w:val="21"/>
              </w:rPr>
            </w:pPr>
            <w:r>
              <w:rPr>
                <w:rFonts w:ascii="仿宋" w:hAnsi="仿宋" w:eastAsia="仿宋"/>
                <w:bCs/>
                <w:szCs w:val="21"/>
              </w:rPr>
              <w:t>G</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adjustRightInd w:val="0"/>
              <w:snapToGrid w:val="0"/>
              <w:spacing w:line="240" w:lineRule="atLeast"/>
              <w:ind w:firstLine="420" w:firstLineChars="200"/>
              <w:rPr>
                <w:rFonts w:hint="eastAsia" w:ascii="仿宋" w:hAnsi="仿宋" w:eastAsia="仿宋"/>
                <w:bCs/>
                <w:szCs w:val="21"/>
              </w:rPr>
            </w:pPr>
            <w:r>
              <w:rPr>
                <w:rFonts w:ascii="仿宋" w:hAnsi="仿宋" w:eastAsia="仿宋"/>
                <w:bCs/>
                <w:szCs w:val="21"/>
              </w:rPr>
              <w:t>H</w:t>
            </w:r>
            <w:r>
              <w:rPr>
                <w:rFonts w:hint="eastAsia" w:ascii="仿宋" w:hAnsi="仿宋" w:eastAsia="仿宋"/>
                <w:bCs/>
                <w:szCs w:val="21"/>
              </w:rPr>
              <w:t>份额：1,</w:t>
            </w:r>
            <w:r>
              <w:rPr>
                <w:rFonts w:ascii="仿宋" w:hAnsi="仿宋" w:eastAsia="仿宋"/>
                <w:bCs/>
                <w:szCs w:val="21"/>
              </w:rPr>
              <w:t>000</w:t>
            </w:r>
            <w:r>
              <w:rPr>
                <w:rFonts w:hint="eastAsia" w:ascii="仿宋" w:hAnsi="仿宋" w:eastAsia="仿宋"/>
                <w:bCs/>
                <w:szCs w:val="21"/>
              </w:rPr>
              <w:t>万</w:t>
            </w:r>
            <w:r>
              <w:rPr>
                <w:rFonts w:ascii="仿宋" w:hAnsi="仿宋" w:eastAsia="仿宋"/>
                <w:bCs/>
                <w:szCs w:val="21"/>
              </w:rPr>
              <w:t>元，以</w:t>
            </w:r>
            <w:r>
              <w:rPr>
                <w:rFonts w:hint="eastAsia" w:ascii="仿宋" w:hAnsi="仿宋" w:eastAsia="仿宋"/>
                <w:bCs/>
                <w:szCs w:val="21"/>
              </w:rPr>
              <w:t>1</w:t>
            </w:r>
            <w:r>
              <w:rPr>
                <w:rFonts w:ascii="仿宋" w:hAnsi="仿宋" w:eastAsia="仿宋"/>
                <w:bCs/>
                <w:szCs w:val="21"/>
              </w:rPr>
              <w:t>元的整数倍递增</w:t>
            </w:r>
            <w:r>
              <w:rPr>
                <w:rFonts w:hint="eastAsia" w:ascii="仿宋" w:hAnsi="仿宋" w:eastAsia="仿宋"/>
                <w:bCs/>
                <w:szCs w:val="21"/>
              </w:rPr>
              <w:t>。</w:t>
            </w:r>
          </w:p>
          <w:p>
            <w:pPr>
              <w:adjustRightInd w:val="0"/>
              <w:snapToGrid w:val="0"/>
              <w:spacing w:line="240" w:lineRule="atLeast"/>
              <w:ind w:firstLine="420" w:firstLineChars="200"/>
              <w:rPr>
                <w:rFonts w:hint="eastAsia" w:ascii="仿宋" w:hAnsi="仿宋" w:eastAsia="仿宋"/>
                <w:bCs/>
                <w:szCs w:val="21"/>
              </w:rPr>
            </w:pPr>
            <w:r>
              <w:rPr>
                <w:rFonts w:hint="eastAsia" w:ascii="仿宋" w:hAnsi="仿宋" w:eastAsia="仿宋"/>
                <w:bCs/>
                <w:szCs w:val="21"/>
                <w:lang w:val="en-US" w:eastAsia="zh-CN"/>
              </w:rPr>
              <w:t>K</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bCs/>
                <w:szCs w:val="21"/>
                <w:lang w:val="en-US" w:eastAsia="zh-CN"/>
              </w:rPr>
              <w:t>Z</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w:t>
            </w:r>
            <w:r>
              <w:rPr>
                <w:rFonts w:hint="eastAsia" w:ascii="仿宋" w:hAnsi="仿宋" w:eastAsia="仿宋"/>
                <w:highlight w:val="none"/>
                <w:lang w:val="en-US" w:eastAsia="zh-CN"/>
              </w:rPr>
              <w:t>条款约定的</w:t>
            </w:r>
            <w:r>
              <w:rPr>
                <w:rFonts w:hint="eastAsia" w:ascii="仿宋" w:hAnsi="仿宋" w:eastAsia="仿宋"/>
                <w:highlight w:val="none"/>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投资者购买理财产品的金额超过理财账户最高持有限额时，超过的部分管理人确认失败。</w:t>
            </w:r>
            <w:r>
              <w:rPr>
                <w:rFonts w:hint="eastAsia" w:ascii="仿宋" w:hAnsi="仿宋" w:eastAsia="仿宋"/>
                <w:b/>
                <w:szCs w:val="21"/>
                <w:highlight w:val="none"/>
              </w:rPr>
              <w:t>投资者同一开放日提交申购、赎回交易，管理人先确认申购交易，并根据申购金额判断是否超过理财账户最高持有限额，可能存在日末投资者的剩余本金小于最高持有限额，但当日申购交易全部或部分失败的情况</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w:t>
            </w:r>
            <w:r>
              <w:rPr>
                <w:rFonts w:hint="eastAsia" w:ascii="仿宋" w:hAnsi="仿宋" w:eastAsia="仿宋"/>
                <w:highlight w:val="none"/>
                <w:lang w:val="en-US" w:eastAsia="zh-CN"/>
              </w:rPr>
              <w:t>本条款约定</w:t>
            </w:r>
            <w:r>
              <w:rPr>
                <w:rFonts w:hint="eastAsia" w:ascii="仿宋" w:hAnsi="仿宋" w:eastAsia="仿宋"/>
                <w:highlight w:val="none"/>
              </w:rPr>
              <w:t>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rPr>
                <w:rFonts w:hint="eastAsia" w:ascii="仿宋" w:hAnsi="仿宋" w:eastAsia="仿宋"/>
                <w:bCs/>
                <w:szCs w:val="21"/>
              </w:rPr>
            </w:pPr>
            <w:r>
              <w:rPr>
                <w:rFonts w:hint="eastAsia" w:ascii="仿宋" w:hAnsi="仿宋" w:eastAsia="仿宋"/>
                <w:bCs/>
                <w:szCs w:val="21"/>
              </w:rPr>
              <w:t>1元，以1元的</w:t>
            </w:r>
            <w:r>
              <w:rPr>
                <w:rFonts w:hint="eastAsia" w:ascii="仿宋" w:hAnsi="仿宋" w:eastAsia="仿宋"/>
              </w:rPr>
              <w:t>整数倍</w:t>
            </w:r>
            <w:r>
              <w:rPr>
                <w:rFonts w:hint="eastAsia" w:ascii="仿宋" w:hAnsi="仿宋" w:eastAsia="仿宋"/>
                <w:lang w:val="en-US" w:eastAsia="zh-CN"/>
              </w:rPr>
              <w:t>追加</w:t>
            </w:r>
            <w:r>
              <w:rPr>
                <w:rFonts w:hint="eastAsia" w:ascii="仿宋" w:hAnsi="仿宋" w:eastAsia="仿宋"/>
                <w:bCs/>
                <w:szCs w:val="21"/>
              </w:rPr>
              <w:t>。</w:t>
            </w:r>
            <w:bookmarkStart w:id="5" w:name="_GoBack"/>
            <w:bookmarkEnd w:id="5"/>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w:t>
            </w:r>
            <w:r>
              <w:rPr>
                <w:rFonts w:hint="eastAsia" w:ascii="仿宋" w:hAnsi="仿宋" w:eastAsia="仿宋"/>
                <w:highlight w:val="none"/>
                <w:lang w:val="en-US" w:eastAsia="zh-CN"/>
              </w:rPr>
              <w:t>本条款约定</w:t>
            </w:r>
            <w:r>
              <w:rPr>
                <w:rFonts w:hint="eastAsia" w:ascii="仿宋" w:hAnsi="仿宋" w:eastAsia="仿宋"/>
                <w:highlight w:val="none"/>
              </w:rPr>
              <w:t>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0.01份</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w:t>
            </w:r>
            <w:r>
              <w:rPr>
                <w:rFonts w:hint="eastAsia" w:ascii="仿宋" w:hAnsi="仿宋" w:eastAsia="仿宋"/>
                <w:bCs/>
                <w:szCs w:val="21"/>
                <w:highlight w:val="none"/>
              </w:rPr>
              <w:t>低保留限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0.01份</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val="0"/>
                <w:bCs/>
                <w:szCs w:val="21"/>
                <w:highlight w:val="none"/>
              </w:rPr>
            </w:pPr>
            <w:r>
              <w:rPr>
                <w:rFonts w:hint="eastAsia" w:ascii="仿宋" w:hAnsi="仿宋" w:eastAsia="仿宋"/>
                <w:b w:val="0"/>
                <w:bCs/>
                <w:szCs w:val="21"/>
                <w:highlight w:val="none"/>
              </w:rPr>
              <w:t>份额净值的计算保留到小数点</w:t>
            </w:r>
            <w:r>
              <w:rPr>
                <w:rFonts w:hint="eastAsia" w:ascii="仿宋" w:hAnsi="仿宋" w:eastAsia="仿宋"/>
                <w:bCs/>
                <w:szCs w:val="21"/>
                <w:highlight w:val="none"/>
              </w:rPr>
              <w:t>后4位</w:t>
            </w:r>
            <w:r>
              <w:rPr>
                <w:rFonts w:hint="eastAsia" w:ascii="仿宋" w:hAnsi="仿宋" w:eastAsia="仿宋"/>
                <w:b w:val="0"/>
                <w:bCs/>
                <w:szCs w:val="21"/>
                <w:highlight w:val="none"/>
              </w:rPr>
              <w:t>，小数点后第</w:t>
            </w:r>
            <w:r>
              <w:rPr>
                <w:rFonts w:hint="eastAsia" w:ascii="仿宋" w:hAnsi="仿宋" w:eastAsia="仿宋"/>
                <w:bCs/>
                <w:szCs w:val="21"/>
                <w:highlight w:val="none"/>
              </w:rPr>
              <w:t>5位四舍五入。</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ascii="仿宋" w:hAnsi="仿宋" w:eastAsia="仿宋"/>
                <w:b w:val="0"/>
                <w:bCs/>
                <w:szCs w:val="21"/>
                <w:highlight w:val="none"/>
              </w:rPr>
            </w:pPr>
            <w:r>
              <w:rPr>
                <w:rFonts w:hint="eastAsia" w:ascii="仿宋" w:hAnsi="仿宋" w:eastAsia="仿宋"/>
                <w:b/>
                <w:szCs w:val="21"/>
                <w:highlight w:val="none"/>
                <w:lang w:val="en-GB"/>
              </w:rPr>
              <w:t>为保护投资者的利益，在发生大额赎回等情况时，经与产品托管</w:t>
            </w:r>
            <w:r>
              <w:rPr>
                <w:rFonts w:hint="eastAsia" w:ascii="仿宋" w:hAnsi="仿宋" w:eastAsia="仿宋"/>
                <w:b/>
                <w:szCs w:val="21"/>
                <w:highlight w:val="none"/>
                <w:lang w:val="en-US" w:eastAsia="zh-CN"/>
              </w:rPr>
              <w:t>机构</w:t>
            </w:r>
            <w:r>
              <w:rPr>
                <w:rFonts w:hint="eastAsia" w:ascii="仿宋" w:hAnsi="仿宋" w:eastAsia="仿宋"/>
                <w:b/>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开放期、</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lang w:val="en-US" w:eastAsia="zh-CN"/>
              </w:rPr>
              <w:t>本产品</w:t>
            </w:r>
            <w:r>
              <w:rPr>
                <w:rFonts w:hint="eastAsia" w:ascii="仿宋" w:hAnsi="仿宋" w:eastAsia="仿宋"/>
                <w:bCs/>
                <w:szCs w:val="21"/>
                <w:highlight w:val="none"/>
              </w:rPr>
              <w:t>开放期/开放日为</w:t>
            </w:r>
            <w:r>
              <w:rPr>
                <w:rFonts w:hint="eastAsia" w:ascii="仿宋" w:hAnsi="仿宋" w:eastAsia="仿宋"/>
                <w:bCs/>
                <w:szCs w:val="21"/>
                <w:highlight w:val="none"/>
                <w:lang w:val="en-US" w:eastAsia="zh-CN"/>
              </w:rPr>
              <w:t>产品建仓</w:t>
            </w:r>
            <w:r>
              <w:rPr>
                <w:rFonts w:hint="eastAsia" w:ascii="仿宋" w:hAnsi="仿宋" w:eastAsia="仿宋"/>
                <w:bCs/>
                <w:szCs w:val="21"/>
                <w:highlight w:val="none"/>
              </w:rPr>
              <w:t>封闭期后</w:t>
            </w:r>
            <w:r>
              <w:rPr>
                <w:rFonts w:ascii="仿宋" w:hAnsi="仿宋" w:eastAsia="仿宋"/>
                <w:bCs/>
                <w:szCs w:val="21"/>
                <w:highlight w:val="none"/>
              </w:rPr>
              <w:t>每个</w:t>
            </w:r>
            <w:r>
              <w:rPr>
                <w:rFonts w:hint="eastAsia" w:ascii="仿宋" w:hAnsi="仿宋" w:eastAsia="仿宋"/>
                <w:bCs/>
                <w:szCs w:val="21"/>
                <w:highlight w:val="none"/>
              </w:rPr>
              <w:t>工作日。</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highlight w:val="none"/>
              </w:rPr>
            </w:pPr>
            <w:r>
              <w:rPr>
                <w:rFonts w:hint="eastAsia" w:ascii="仿宋" w:hAnsi="仿宋" w:eastAsia="仿宋"/>
                <w:bCs/>
                <w:szCs w:val="21"/>
                <w:highlight w:val="none"/>
              </w:rPr>
              <w:t>通过华夏理财购买的，每个开放日的开放时间</w:t>
            </w:r>
            <w:r>
              <w:rPr>
                <w:rFonts w:hint="eastAsia" w:ascii="仿宋" w:hAnsi="仿宋" w:eastAsia="仿宋"/>
                <w:bCs/>
                <w:szCs w:val="21"/>
                <w:highlight w:val="none"/>
                <w:lang w:val="en-US" w:eastAsia="zh-CN"/>
              </w:rPr>
              <w:t>为</w:t>
            </w:r>
            <w:r>
              <w:rPr>
                <w:rFonts w:hint="eastAsia" w:ascii="仿宋" w:hAnsi="仿宋" w:eastAsia="仿宋"/>
                <w:bCs/>
                <w:szCs w:val="21"/>
                <w:highlight w:val="none"/>
                <w:u w:val="none"/>
              </w:rPr>
              <w:t>0:00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可在</w:t>
            </w:r>
            <w:r>
              <w:rPr>
                <w:rFonts w:hint="eastAsia" w:ascii="仿宋" w:hAnsi="仿宋" w:eastAsia="仿宋"/>
                <w:highlight w:val="none"/>
              </w:rPr>
              <w:t>开放日的开放时间内</w:t>
            </w:r>
            <w:r>
              <w:rPr>
                <w:rFonts w:hint="eastAsia" w:ascii="仿宋" w:hAnsi="仿宋" w:eastAsia="仿宋"/>
                <w:highlight w:val="none"/>
                <w:lang w:val="en-US" w:eastAsia="zh-CN"/>
              </w:rPr>
              <w:t>提出</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szCs w:val="21"/>
                <w:highlight w:val="none"/>
              </w:rPr>
            </w:pPr>
            <w:r>
              <w:rPr>
                <w:rFonts w:hint="eastAsia" w:ascii="仿宋" w:hAnsi="仿宋" w:eastAsia="仿宋"/>
                <w:szCs w:val="21"/>
                <w:highlight w:val="none"/>
              </w:rPr>
              <w:t>代销机构如另有规定，从其规定。</w:t>
            </w:r>
          </w:p>
          <w:p>
            <w:pPr>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T日赎回，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赎回资金</w:t>
            </w:r>
            <w:r>
              <w:rPr>
                <w:rFonts w:hint="eastAsia" w:ascii="仿宋" w:hAnsi="仿宋" w:eastAsia="仿宋"/>
                <w:bCs/>
                <w:szCs w:val="21"/>
                <w:highlight w:val="none"/>
              </w:rPr>
              <w:t>于T+</w:t>
            </w:r>
            <w:r>
              <w:rPr>
                <w:rFonts w:hint="eastAsia" w:ascii="仿宋" w:hAnsi="仿宋" w:eastAsia="仿宋"/>
                <w:bCs/>
                <w:szCs w:val="21"/>
                <w:highlight w:val="none"/>
                <w:u w:val="none"/>
              </w:rPr>
              <w:t>1</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
                <w:bCs/>
                <w:szCs w:val="21"/>
                <w:highlight w:val="none"/>
              </w:rPr>
            </w:pPr>
            <w:r>
              <w:rPr>
                <w:rFonts w:hint="eastAsia" w:ascii="仿宋" w:hAnsi="仿宋" w:eastAsia="仿宋"/>
                <w:bCs/>
                <w:szCs w:val="21"/>
                <w:highlight w:val="none"/>
              </w:rPr>
              <w:t>本理财产品采取份额赎回的方式。投资者可选择全额或部分赎回，部分赎回后投资者持有本理财产品的日末余额低于理财账户最低保留限额时，</w:t>
            </w:r>
            <w:r>
              <w:rPr>
                <w:rFonts w:hint="eastAsia" w:ascii="仿宋" w:hAnsi="仿宋" w:eastAsia="仿宋"/>
                <w:b/>
                <w:bCs/>
                <w:szCs w:val="21"/>
                <w:highlight w:val="none"/>
              </w:rPr>
              <w:t>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
                <w:bCs/>
                <w:szCs w:val="21"/>
                <w:highlight w:val="none"/>
              </w:rPr>
              <w:t>若客户在同一开放日提交申购和赎回原持有份额的交易申请，经申购和赎回交易确认后的剩余份额低于理财账户最低保留限额时，华夏理财将在赎回确认日末对投资者的剩余份额发起强制赎回。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Cs/>
                <w:szCs w:val="21"/>
                <w:highlight w:val="none"/>
              </w:rPr>
              <w:t>本产品赎回遵循“先进先出”原则。</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申请日日终的产品份额净值，保留到小数点后</w:t>
            </w:r>
            <w:r>
              <w:rPr>
                <w:rFonts w:ascii="仿宋" w:hAnsi="仿宋" w:eastAsia="仿宋"/>
                <w:bCs/>
                <w:szCs w:val="21"/>
                <w:highlight w:val="none"/>
                <w:u w:val="none"/>
              </w:rPr>
              <w:t>2</w:t>
            </w:r>
            <w:r>
              <w:rPr>
                <w:rFonts w:hint="eastAsia" w:ascii="仿宋" w:hAnsi="仿宋" w:eastAsia="仿宋"/>
                <w:bCs/>
                <w:szCs w:val="21"/>
                <w:highlight w:val="none"/>
              </w:rPr>
              <w:t>位，小数点后第</w:t>
            </w:r>
            <w:r>
              <w:rPr>
                <w:rFonts w:ascii="仿宋" w:hAnsi="仿宋" w:eastAsia="仿宋"/>
                <w:bCs/>
                <w:szCs w:val="21"/>
                <w:highlight w:val="none"/>
                <w:u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0"/>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Cs/>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当日办理的赎回份额不低于前一日终理财产品总份额</w:t>
            </w:r>
            <w:r>
              <w:rPr>
                <w:rFonts w:hint="eastAsia" w:ascii="仿宋" w:hAnsi="仿宋" w:eastAsia="仿宋"/>
                <w:b/>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bCs w:val="0"/>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）通过华夏理财认购的，投资者撤销的本金在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募集期最后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）通过华夏理财申购的，投资者撤销的本金在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通过其他代销机构申购的，撤销规定以代销机构规定为准。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szCs w:val="21"/>
                <w:highlight w:val="none"/>
              </w:rPr>
              <w:t>本理财产品为</w:t>
            </w:r>
            <w:r>
              <w:rPr>
                <w:rFonts w:ascii="仿宋" w:hAnsi="仿宋" w:eastAsia="仿宋"/>
                <w:bCs/>
                <w:szCs w:val="21"/>
                <w:highlight w:val="none"/>
              </w:rPr>
              <w:t>公募</w:t>
            </w:r>
            <w:r>
              <w:rPr>
                <w:rFonts w:hint="eastAsia" w:ascii="仿宋" w:hAnsi="仿宋" w:eastAsia="仿宋"/>
                <w:bCs/>
                <w:szCs w:val="21"/>
                <w:highlight w:val="none"/>
              </w:rPr>
              <w:t>理财</w:t>
            </w:r>
            <w:r>
              <w:rPr>
                <w:rFonts w:ascii="仿宋" w:hAnsi="仿宋" w:eastAsia="仿宋"/>
                <w:bCs/>
                <w:szCs w:val="21"/>
                <w:highlight w:val="none"/>
              </w:rPr>
              <w:t>产品</w:t>
            </w:r>
            <w:r>
              <w:rPr>
                <w:rFonts w:hint="eastAsia" w:ascii="仿宋" w:hAnsi="仿宋" w:eastAsia="仿宋"/>
                <w:bCs/>
                <w:szCs w:val="21"/>
                <w:highlight w:val="none"/>
              </w:rPr>
              <w:t>，根据监管</w:t>
            </w:r>
            <w:r>
              <w:rPr>
                <w:rFonts w:ascii="仿宋" w:hAnsi="仿宋" w:eastAsia="仿宋"/>
                <w:bCs/>
                <w:szCs w:val="21"/>
                <w:highlight w:val="none"/>
              </w:rPr>
              <w:t>部门规定，</w:t>
            </w:r>
            <w:r>
              <w:rPr>
                <w:rFonts w:hint="eastAsia" w:ascii="仿宋" w:hAnsi="仿宋" w:eastAsia="仿宋"/>
                <w:bCs/>
                <w:szCs w:val="21"/>
                <w:highlight w:val="none"/>
              </w:rPr>
              <w:t>无需</w:t>
            </w:r>
            <w:r>
              <w:rPr>
                <w:rFonts w:ascii="仿宋" w:hAnsi="仿宋" w:eastAsia="仿宋"/>
                <w:bCs/>
                <w:szCs w:val="21"/>
                <w:highlight w:val="none"/>
              </w:rPr>
              <w:t>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bCs/>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0.03%</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0.03%</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F为托管费；E为计算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G份额：0.30%/年，以前一日资产净值为基数，每日计提。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K份额：0.30%/年，以前一日资产净值为基数，每日计提。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0.30%</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0.30%</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F为固定管理费；E为计算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hint="eastAsia" w:ascii="仿宋" w:hAnsi="仿宋" w:eastAsia="仿宋"/>
                <w:b/>
                <w:bCs/>
                <w:szCs w:val="21"/>
                <w:highlight w:val="none"/>
                <w:u w:val="single"/>
              </w:rPr>
            </w:pPr>
            <w:r>
              <w:rPr>
                <w:rFonts w:hint="eastAsia" w:ascii="仿宋" w:hAnsi="仿宋" w:eastAsia="仿宋"/>
                <w:b/>
                <w:bCs/>
                <w:szCs w:val="21"/>
                <w:highlight w:val="none"/>
              </w:rPr>
              <w:t>本理财产品不收取超额管理费。</w:t>
            </w:r>
          </w:p>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w:t>
            </w:r>
            <w:r>
              <w:rPr>
                <w:rFonts w:ascii="仿宋" w:hAnsi="仿宋" w:eastAsia="仿宋"/>
                <w:b/>
                <w:bCs/>
                <w:szCs w:val="21"/>
                <w:highlight w:val="none"/>
              </w:rPr>
              <w:t>通过</w:t>
            </w:r>
            <w:r>
              <w:rPr>
                <w:rFonts w:hint="eastAsia" w:ascii="仿宋" w:hAnsi="仿宋" w:eastAsia="仿宋"/>
                <w:b/>
                <w:bCs/>
                <w:szCs w:val="21"/>
                <w:highlight w:val="none"/>
              </w:rPr>
              <w:t>本产品说明书约定的信息披露渠道</w:t>
            </w:r>
            <w:r>
              <w:rPr>
                <w:rFonts w:hint="eastAsia" w:ascii="仿宋" w:hAnsi="仿宋" w:eastAsia="仿宋"/>
                <w:b/>
                <w:szCs w:val="21"/>
                <w:highlight w:val="none"/>
              </w:rPr>
              <w:t>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产品到期/终止</w:t>
            </w:r>
            <w:r>
              <w:rPr>
                <w:rFonts w:hint="eastAsia" w:ascii="仿宋" w:hAnsi="仿宋" w:eastAsia="仿宋"/>
                <w:bCs/>
                <w:szCs w:val="21"/>
                <w:highlight w:val="none"/>
                <w:lang w:val="en-US" w:eastAsia="zh-CN"/>
              </w:rPr>
              <w:t>日的份额净值，将在</w:t>
            </w:r>
            <w:r>
              <w:rPr>
                <w:rFonts w:hint="eastAsia" w:ascii="仿宋" w:hAnsi="仿宋" w:eastAsia="仿宋"/>
                <w:bCs/>
                <w:szCs w:val="21"/>
                <w:highlight w:val="none"/>
              </w:rPr>
              <w:t>到期/终止</w:t>
            </w:r>
            <w:r>
              <w:rPr>
                <w:rFonts w:ascii="仿宋" w:hAnsi="仿宋" w:eastAsia="仿宋"/>
                <w:bCs/>
                <w:szCs w:val="21"/>
                <w:highlight w:val="none"/>
              </w:rPr>
              <w:t>日</w:t>
            </w:r>
            <w:r>
              <w:rPr>
                <w:rFonts w:hint="eastAsia" w:ascii="仿宋" w:hAnsi="仿宋" w:eastAsia="仿宋"/>
                <w:highlight w:val="none"/>
                <w:lang w:val="en-US" w:eastAsia="zh-CN"/>
              </w:rPr>
              <w:t>结束</w:t>
            </w:r>
            <w:r>
              <w:rPr>
                <w:rFonts w:ascii="仿宋" w:hAnsi="仿宋" w:eastAsia="仿宋"/>
                <w:bCs/>
                <w:szCs w:val="21"/>
                <w:highlight w:val="none"/>
              </w:rPr>
              <w:t>后的</w:t>
            </w:r>
            <w:r>
              <w:rPr>
                <w:rFonts w:hint="eastAsia" w:ascii="仿宋" w:hAnsi="仿宋" w:eastAsia="仿宋"/>
                <w:bCs/>
                <w:szCs w:val="21"/>
                <w:highlight w:val="none"/>
                <w:lang w:val="en-US" w:eastAsia="zh-CN"/>
              </w:rPr>
              <w:t>2</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lang w:val="en-US" w:eastAsia="zh-CN"/>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szCs w:val="21"/>
                <w:highlight w:val="none"/>
              </w:rPr>
            </w:pPr>
            <w:r>
              <w:rPr>
                <w:rFonts w:ascii="仿宋" w:hAnsi="仿宋" w:eastAsia="仿宋" w:cs="宋体"/>
                <w:szCs w:val="21"/>
                <w:highlight w:val="none"/>
              </w:rPr>
              <w:t>管理人可以在产品存续期根据投资情况选择分红或不分红，若分红，将以现金分红或红利再投资方式进行，默认为现金分红，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1万</w:t>
            </w:r>
            <w:r>
              <w:rPr>
                <w:rFonts w:hint="eastAsia" w:ascii="仿宋" w:hAnsi="仿宋" w:eastAsia="仿宋"/>
                <w:bCs/>
                <w:szCs w:val="21"/>
                <w:highlight w:val="none"/>
              </w:rPr>
              <w:t>份时；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w:t>
            </w:r>
            <w:r>
              <w:rPr>
                <w:rFonts w:hint="eastAsia" w:ascii="仿宋" w:hAnsi="仿宋" w:eastAsia="仿宋"/>
                <w:bCs/>
                <w:szCs w:val="21"/>
                <w:highlight w:val="none"/>
                <w:lang w:val="en-US" w:eastAsia="zh-CN"/>
              </w:rPr>
              <w:t>等</w:t>
            </w:r>
            <w:r>
              <w:rPr>
                <w:rFonts w:hint="eastAsia" w:ascii="仿宋" w:hAnsi="仿宋" w:eastAsia="仿宋"/>
                <w:bCs/>
                <w:szCs w:val="21"/>
                <w:highlight w:val="none"/>
              </w:rPr>
              <w:t>可能或实质影响到产品所能实现的投资收益</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提前终止比维持产品运作更有利于保护投资者的权益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二、</w:t>
      </w:r>
      <w:r>
        <w:rPr>
          <w:rFonts w:ascii="Times New Roman" w:eastAsia="黑体" w:cs="Times New Roman"/>
          <w:b/>
          <w:color w:val="auto"/>
          <w:highlight w:val="none"/>
        </w:rPr>
        <w:t>投资对象</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将全部投资于境内市场固定收益类金融工具，包括货币市场工具、标准化债权类资产及其他符合监管要求的固定收益类金融资产，其中投资于同业存单、存款类资产及债券逆回购的比例不低于产品规模的80%。</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其中货币市场工具包括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类资产包括国债、中央银行票据、地方政府债券、政府支持机构债券、金融债券、非金融企业债务融资工具、公司债券、企业债券、同业存单、信贷资产支持证券、证券交易所挂牌交易的资产支持证券、货币市场基金、债券型公募证券投资基金等。</w:t>
      </w:r>
    </w:p>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pStyle w:val="1"/>
        <w:keepLines w:val="0"/>
        <w:pageBreakBefore w:val="0"/>
        <w:widowControl/>
        <w:kinsoku/>
        <w:wordWrap/>
        <w:overflowPunct/>
        <w:topLinePunct w:val="0"/>
        <w:autoSpaceDE/>
        <w:autoSpaceDN/>
        <w:bidi w:val="0"/>
        <w:adjustRightInd/>
        <w:snapToGrid/>
        <w:spacing w:line="276" w:lineRule="auto"/>
        <w:ind w:firstLine="48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3"/>
        <w:tblW w:w="806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2"/>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hint="eastAsia"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vAlign w:val="center"/>
          </w:tcPr>
          <w:p>
            <w:pPr>
              <w:pageBreakBefore w:val="0"/>
              <w:jc w:val="center"/>
              <w:textAlignment w:val="auto"/>
              <w:rPr>
                <w:rFonts w:hint="eastAsia" w:eastAsia="仿宋"/>
                <w:highlight w:val="none"/>
                <w:lang w:val="en-US" w:eastAsia="zh-CN"/>
              </w:rPr>
            </w:pPr>
            <w:r>
              <w:rPr>
                <w:rFonts w:ascii="仿宋" w:hAnsi="仿宋" w:eastAsia="仿宋" w:cs="仿宋"/>
                <w:b w:val="0"/>
                <w:i w:val="0"/>
                <w:strike w:val="0"/>
                <w:color w:val="auto"/>
                <w:position w:val="-1"/>
                <w:sz w:val="24"/>
                <w:highlight w:val="none"/>
                <w:u w:val="none"/>
              </w:rPr>
              <w:t>标准化债权类</w:t>
            </w:r>
            <w:r>
              <w:rPr>
                <w:rFonts w:hint="eastAsia" w:ascii="仿宋" w:hAnsi="仿宋" w:eastAsia="仿宋" w:cs="仿宋"/>
                <w:b w:val="0"/>
                <w:i w:val="0"/>
                <w:strike w:val="0"/>
                <w:color w:val="auto"/>
                <w:position w:val="-1"/>
                <w:sz w:val="24"/>
                <w:highlight w:val="none"/>
                <w:u w:val="none"/>
                <w:lang w:val="en-US" w:eastAsia="zh-CN"/>
              </w:rPr>
              <w:t>资产</w:t>
            </w:r>
          </w:p>
        </w:tc>
        <w:tc>
          <w:tcPr>
            <w:tcW w:w="2061"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个工作日通过本产品说明书约定的信息披露渠道予以公告</w:t>
      </w:r>
      <w:r>
        <w:rPr>
          <w:rFonts w:hint="eastAsia" w:ascii="仿宋" w:hAnsi="仿宋" w:eastAsia="仿宋" w:cs="宋体"/>
          <w:color w:val="000000"/>
          <w:sz w:val="24"/>
          <w:highlight w:val="none"/>
        </w:rPr>
        <w:t>。若本理财产品的投资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三、理财产品</w:t>
      </w:r>
      <w:r>
        <w:rPr>
          <w:rFonts w:hint="eastAsia" w:ascii="Times New Roman" w:eastAsia="黑体" w:cs="Times New Roman"/>
          <w:b/>
          <w:color w:val="auto"/>
          <w:highlight w:val="none"/>
          <w:lang w:val="en-US" w:eastAsia="zh-CN"/>
        </w:rPr>
        <w:t>相关主体</w:t>
      </w:r>
      <w:r>
        <w:rPr>
          <w:rFonts w:hint="eastAsia" w:ascii="Times New Roman" w:eastAsia="黑体" w:cs="Times New Roman"/>
          <w:b/>
          <w:color w:val="auto"/>
          <w:highlight w:val="none"/>
        </w:rPr>
        <w:t>的基本情况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pStyle w:val="1"/>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88"/>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1</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安全保管理财产品财产；</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2</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为每只理财产品开设独立的托管账户，不同托管账户中的资产应当相互独立；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3</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4</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建立与管理人的对账机制，复核、审查理财产品资金头寸、资产账目、资产净值、认购和赎回价格等数据，及时核查认购、赎回以及投资资金的支付和到账情况；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5</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监督理财产品投资运作，发现理财产品违反法律、行政法规、规章规定或合同约定投资的，应当拒绝执行，及时通知管理人并报告银行业监督管理机构；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6</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7</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理财托管业务活动的记录、账册、报表和其他相关资料保存期限15年以上；</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8</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对理财产品投资信息和相关资料承担保密责任，除法律、行政法规、规章规定、审计要求或者合同约定外，不得向任何机构或者个人提供相关信息和资料；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9</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银行业监督管理机构规定的其他职责。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详见“产品净值公告”“九、信息披露”</w:t>
      </w:r>
      <w:r>
        <w:rPr>
          <w:rFonts w:hint="eastAsia" w:ascii="仿宋" w:hAnsi="仿宋" w:eastAsia="仿宋" w:cs="宋体"/>
          <w:color w:val="000000"/>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6.认（申）购申请超过说明书约定的单一投资者认（申）购金额上限、或超过理财产品单日净认（申）购比例上限。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如果投资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的认（申）购申请被全部或部分拒绝的，被拒绝的认（申）购款项将退还给投资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2.发生本产品说明书约定的暂停估值情形。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rPr>
        <w:t>.发生巨额赎回。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rPr>
        <w:t>.连续2个以上开放日发生巨额赎回。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6.继续接受赎回申请可能对存量理财投资者利益构成潜在重大不利影响。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7.法律法规规定或监管机构认定的其他情形。</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微软简仿宋" w:hAnsi="微软简仿宋" w:eastAsia="仿宋"/>
          <w:bCs/>
          <w:szCs w:val="21"/>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若产品开放日份额净值为1.1800，则客户获得的赎回金额为：100,000*1.1800=118,000.00元。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r>
        <w:rPr>
          <w:rFonts w:hint="eastAsia" w:ascii="仿宋" w:hAnsi="仿宋" w:eastAsia="仿宋"/>
          <w:b/>
          <w:bCs/>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本产品说明书中的任何业绩比较基准、收益示例或类似表述均不具有法律约束力，不等于预期收益，不代表投资者可能获得的实际收益，亦不构成华夏理财</w:t>
      </w:r>
      <w:r>
        <w:rPr>
          <w:rFonts w:hint="eastAsia" w:ascii="黑体" w:hAnsi="黑体" w:eastAsia="黑体" w:cs="黑体"/>
          <w:b/>
          <w:color w:val="000000"/>
          <w:sz w:val="24"/>
          <w:highlight w:val="none"/>
        </w:rPr>
        <w:t>/</w:t>
      </w:r>
      <w:r>
        <w:rPr>
          <w:rFonts w:hint="eastAsia" w:eastAsia="黑体"/>
          <w:b/>
          <w:color w:val="000000"/>
          <w:sz w:val="24"/>
          <w:highlight w:val="none"/>
        </w:rPr>
        <w:t>代销机构对本理财产品的任何收益承诺。</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（一）估值对象</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（三）估值方法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1.证券交易所上市的有价证券</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在交易所市场上市的含有转股权的债券（如可转换债券、可交换债券等）等，选取每日收盘价减去所含的应收利息得到的净价进行估值。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2.处于未上市期间的有价证券应区分如下情况处理：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（1）送股、转增股、配股和公开增发的新股，按估值日在证券交易所挂牌的同一股票的市价（收盘价）估值；该日无交易的，以最近一日的市价（收盘价）估值；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（2）首次公开发行未上市的股票、债券和权证，采用估值技术确定公允价值，在估值技术难以可靠计量公允价值的情况下，采用管理人和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（3）优先股采用估值技术确认公允价值，在估值技术难以可靠计量公允价值的情况下，采用管理人和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4.同一债券同时在两个或两个以上市场交易的，按债券所处的市场分别估值。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5.证券投资基金的估值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（1）场外申赎的开放式非货币基金以估值日可获取的基金管理人公布的最新基金份额净值估值；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（2）上市流通的证券投资基金（包括场内买入的ETF、封闭式基金、上市定期开放式基金）按估值日其所在证券交易所的收盘价估值；估值日无交易的，以最近一个交易日的收盘价估值；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color w:val="auto"/>
          <w:highlight w:val="none"/>
        </w:rPr>
        <w:t>货币基金以估值日可获取的基金管理人公布的最新万份收益计提红利</w:t>
      </w:r>
      <w:r>
        <w:rPr>
          <w:rFonts w:hint="eastAsia" w:ascii="仿宋" w:hAnsi="仿宋" w:eastAsia="仿宋"/>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8.期货以估值日期货交易所的当日结算价估值，估值当日无结算价的，且最近交易日后经济环境未发生重大变化的，采用最近交易日结算价估值。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9.汇率估值方法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10.场内期权以估值日交易所的结算价估值，该日无交易的，以最近一日的结算价为准。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11.非标准化债权类资产采用估值技术确认公允价值，在估值技术难以可靠计量公允价值的情况下，按照管理人和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13.本系列产品所投资的资产管理产品以估值日公布的产品单位净值进行估值，估值日产品单位净值未公布的，以最近一个工作日产品单位净值计算。</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14.相关法律法规以及监管部门有强制规定的，从其规定。如有新增事项或变更事项，依法按最新规定计算。没有相关规定的，由产品管理人与</w:t>
      </w:r>
      <w:r>
        <w:rPr>
          <w:rFonts w:hint="eastAsia" w:ascii="仿宋" w:hAnsi="仿宋" w:eastAsia="仿宋"/>
          <w:highlight w:val="none"/>
          <w:lang w:eastAsia="zh-CN"/>
        </w:rPr>
        <w:t>托管机构</w:t>
      </w:r>
      <w:r>
        <w:rPr>
          <w:rFonts w:hint="eastAsia" w:ascii="仿宋" w:hAnsi="仿宋" w:eastAsia="仿宋"/>
          <w:highlight w:val="none"/>
        </w:rPr>
        <w:t>协商确定计算方法。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（四）暂停</w:t>
      </w:r>
      <w:r>
        <w:rPr>
          <w:rFonts w:ascii="仿宋" w:hAnsi="仿宋" w:eastAsia="仿宋" w:cs="宋体"/>
          <w:color w:val="000000"/>
          <w:sz w:val="24"/>
          <w:highlight w:val="none"/>
        </w:rPr>
        <w:t>估值</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在发生下列情形之一的，管理人可以暂停本理财产品估值：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（五）</w:t>
      </w:r>
      <w:r>
        <w:rPr>
          <w:rFonts w:ascii="仿宋" w:hAnsi="仿宋" w:eastAsia="仿宋" w:cs="宋体"/>
          <w:color w:val="000000"/>
          <w:sz w:val="24"/>
          <w:highlight w:val="none"/>
        </w:rPr>
        <w:t>估值</w:t>
      </w:r>
      <w:r>
        <w:rPr>
          <w:rFonts w:hint="eastAsia" w:ascii="仿宋" w:hAnsi="仿宋" w:eastAsia="仿宋" w:cs="宋体"/>
          <w:color w:val="000000"/>
          <w:sz w:val="24"/>
          <w:highlight w:val="none"/>
        </w:rPr>
        <w:t>错误的</w:t>
      </w:r>
      <w:r>
        <w:rPr>
          <w:rFonts w:ascii="仿宋" w:hAnsi="仿宋" w:eastAsia="仿宋" w:cs="宋体"/>
          <w:color w:val="000000"/>
          <w:sz w:val="24"/>
          <w:highlight w:val="none"/>
        </w:rPr>
        <w:t>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hint="eastAsia" w:ascii="仿宋" w:hAnsi="仿宋" w:eastAsia="仿宋" w:cs="仿宋"/>
          <w:b/>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封闭期内</w:t>
      </w:r>
      <w:r>
        <w:rPr>
          <w:rFonts w:hint="eastAsia" w:eastAsia="黑体"/>
          <w:b/>
          <w:highlight w:val="none"/>
        </w:rPr>
        <w:t>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w:t>
      </w:r>
      <w:r>
        <w:rPr>
          <w:rFonts w:hint="eastAsia" w:eastAsia="黑体"/>
          <w:b/>
          <w:highlight w:val="none"/>
        </w:rPr>
        <w:t>理财</w:t>
      </w:r>
      <w:r>
        <w:rPr>
          <w:rFonts w:eastAsia="黑体"/>
          <w:b/>
          <w:highlight w:val="none"/>
        </w:rPr>
        <w:t>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88"/>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lang w:eastAsia="zh-CN"/>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十六</w:t>
      </w:r>
      <w:r>
        <w:rPr>
          <w:rFonts w:hint="eastAsia" w:ascii="Times New Roman" w:eastAsia="黑体" w:cs="Times New Roman"/>
          <w:b/>
          <w:highlight w:val="none"/>
          <w:lang w:eastAsia="zh-CN"/>
        </w:rPr>
        <w:t>）</w:t>
      </w:r>
      <w:r>
        <w:rPr>
          <w:rFonts w:hint="eastAsia" w:ascii="Times New Roman" w:eastAsia="黑体" w:cs="Times New Roman"/>
          <w:b/>
          <w:highlight w:val="none"/>
        </w:rPr>
        <w:t>本产品特有风险说明</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3.投资于存款类资产的可能风险：本产品拟投资的存款类资产在极端情况下可能面临被拒绝支取、因提前支取而被收取罚息等费用的风险，从而影响投资者收益，甚至使本产品本金遭受损失。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w:t>
      </w:r>
      <w:r>
        <w:rPr>
          <w:rFonts w:hint="eastAsia" w:ascii="仿宋" w:hAnsi="仿宋" w:eastAsia="仿宋" w:cs="宋体"/>
          <w:color w:val="000000"/>
          <w:sz w:val="24"/>
          <w:highlight w:val="none"/>
        </w:rPr>
        <w:t>一</w:t>
      </w:r>
      <w:r>
        <w:rPr>
          <w:rFonts w:ascii="仿宋" w:hAnsi="仿宋" w:eastAsia="仿宋" w:cs="宋体"/>
          <w:color w:val="000000"/>
          <w:sz w:val="24"/>
          <w:highlight w:val="none"/>
        </w:rPr>
        <w:t>）理财产品运作信息披露</w:t>
      </w:r>
    </w:p>
    <w:p>
      <w:pPr>
        <w:pStyle w:val="1"/>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（二）理财产品临时</w:t>
      </w:r>
      <w:r>
        <w:rPr>
          <w:rFonts w:hint="eastAsia" w:ascii="仿宋" w:hAnsi="仿宋" w:eastAsia="仿宋" w:cs="宋体"/>
          <w:color w:val="000000"/>
          <w:sz w:val="24"/>
          <w:highlight w:val="none"/>
        </w:rPr>
        <w:t>性</w:t>
      </w:r>
      <w:r>
        <w:rPr>
          <w:rFonts w:ascii="仿宋" w:hAnsi="仿宋" w:eastAsia="仿宋" w:cs="宋体"/>
          <w:color w:val="000000"/>
          <w:sz w:val="24"/>
          <w:highlight w:val="none"/>
        </w:rPr>
        <w:t>信息披露</w:t>
      </w:r>
      <w:r>
        <w:rPr>
          <w:rFonts w:hint="eastAsia" w:ascii="仿宋" w:hAnsi="仿宋" w:eastAsia="仿宋" w:cs="宋体"/>
          <w:color w:val="000000"/>
          <w:sz w:val="24"/>
          <w:highlight w:val="none"/>
        </w:rPr>
        <w:t>及重大事项公告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pStyle w:val="1"/>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pStyle w:val="1"/>
        <w:keepLines w:val="0"/>
        <w:pageBreakBefore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p>
      <w:pPr>
        <w:pStyle w:val="1"/>
        <w:pageBreakBefore w:val="true"/>
      </w:pPr>
    </w:p>
    <w:p>
      <w:pPr>
        <w:pStyle w:val="ef2b0b91"/>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pStyle w:val="ef2b0b91"/>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ef2b0b91"/>
        <w:spacing w:line="360" w:lineRule="auto"/>
        <w:rPr>
          <w:rFonts w:ascii="宋体" w:hAnsi="宋体" w:cs="宋体"/>
          <w:sz w:val="24"/>
        </w:rPr>
      </w:pPr>
    </w:p>
    <w:p>
      <w:pPr>
        <w:pStyle w:val="ef2b0b91"/>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ef2b0b91"/>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ef2b0b91"/>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ef2b0b91"/>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ef2b0b91"/>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ef2b0b91"/>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ef2b0b91"/>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ef2b0b91"/>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ef2b0b91"/>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ef2b0b91"/>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ef2b0b91"/>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21112001D</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PR1级（低风险）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ef2b0b91"/>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f488b251"/>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ef2b0b91"/>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63e414dd"/>
        <w:spacing w:line="360" w:lineRule="auto"/>
        <w:ind w:firstLine="0"/>
        <w:rPr>
          <w:rFonts w:hint="eastAsia" w:ascii="仿宋" w:hAnsi="仿宋" w:eastAsia="仿宋" w:cs="仿宋"/>
          <w:b/>
          <w:sz w:val="21"/>
          <w:szCs w:val="21"/>
        </w:rPr>
      </w:pPr>
    </w:p>
    <w:p>
      <w:pPr>
        <w:pStyle w:val="ef2b0b91"/>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ef2b0b91"/>
        <w:spacing w:line="360" w:lineRule="auto"/>
        <w:ind w:right="420" w:firstLine="1240" w:firstLineChars="588"/>
        <w:jc w:val="right"/>
        <w:rPr>
          <w:rFonts w:hint="eastAsia" w:ascii="仿宋" w:hAnsi="仿宋" w:eastAsia="仿宋" w:cs="仿宋"/>
          <w:b/>
          <w:szCs w:val="21"/>
        </w:rPr>
      </w:pPr>
    </w:p>
    <w:p>
      <w:pPr>
        <w:pStyle w:val="ef2b0b91"/>
        <w:spacing w:line="360" w:lineRule="auto"/>
        <w:ind w:right="420" w:firstLine="1240" w:firstLineChars="588"/>
        <w:jc w:val="right"/>
        <w:rPr>
          <w:rFonts w:hint="eastAsia" w:ascii="仿宋" w:hAnsi="仿宋" w:eastAsia="仿宋" w:cs="仿宋"/>
          <w:b/>
          <w:szCs w:val="21"/>
        </w:rPr>
      </w:pPr>
    </w:p>
    <w:p>
      <w:pPr>
        <w:pStyle w:val="ef2b0b91"/>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f488b2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ef2b0b91"/>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ef2b0b91"/>
        <w:spacing w:line="360" w:lineRule="auto"/>
        <w:rPr>
          <w:rFonts w:hint="eastAsia" w:ascii="仿宋" w:hAnsi="仿宋" w:eastAsia="仿宋" w:cs="仿宋"/>
          <w:szCs w:val="21"/>
        </w:rPr>
      </w:pPr>
    </w:p>
    <w:p>
      <w:pPr>
        <w:pStyle w:val="ef2b0b91"/>
        <w:spacing w:line="360" w:lineRule="auto"/>
        <w:rPr>
          <w:rFonts w:hint="eastAsia" w:ascii="仿宋" w:hAnsi="仿宋" w:eastAsia="仿宋" w:cs="仿宋"/>
          <w:szCs w:val="21"/>
        </w:rPr>
      </w:pPr>
    </w:p>
    <w:p>
      <w:pPr>
        <w:pStyle w:val="ef2b0b91"/>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ef2b0b91"/>
        <w:spacing w:line="360" w:lineRule="auto"/>
        <w:ind w:firstLine="6090" w:firstLineChars="2900"/>
        <w:rPr>
          <w:rFonts w:hint="eastAsia" w:ascii="仿宋" w:hAnsi="仿宋" w:eastAsia="仿宋" w:cs="仿宋"/>
          <w:szCs w:val="21"/>
        </w:rPr>
      </w:pPr>
    </w:p>
    <w:p>
      <w:pPr>
        <w:pStyle w:val="ef2b0b91"/>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ef2b0b91"/>
        <w:pageBreakBefore w:val="true"/>
      </w:pPr>
    </w:p>
    <w:p>
      <w:pPr>
        <w:pStyle w:val="8adf209b"/>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b1057582"/>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b1057582"/>
        <w:spacing w:line="360" w:lineRule="auto"/>
        <w:jc w:val="left"/>
        <w:rPr>
          <w:rFonts w:hint="eastAsia" w:ascii="仿宋" w:hAnsi="仿宋" w:eastAsia="仿宋" w:cs="仿宋"/>
          <w:b/>
          <w:szCs w:val="21"/>
        </w:rPr>
      </w:pPr>
    </w:p>
    <w:p>
      <w:pPr>
        <w:pStyle w:val="b1057582"/>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b1057582"/>
        <w:spacing w:line="360" w:lineRule="auto"/>
        <w:rPr>
          <w:rFonts w:hint="eastAsia" w:ascii="仿宋" w:hAnsi="仿宋" w:eastAsia="仿宋" w:cs="仿宋"/>
          <w:szCs w:val="21"/>
        </w:rPr>
      </w:pPr>
    </w:p>
    <w:p>
      <w:pPr>
        <w:pStyle w:val="b1057582"/>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b1057582"/>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b1057582"/>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b105758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b1057582"/>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a9d990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b105758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b1057582"/>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b1057582"/>
        <w:spacing w:line="360" w:lineRule="auto"/>
        <w:rPr>
          <w:rFonts w:hint="eastAsia" w:ascii="仿宋" w:hAnsi="仿宋" w:eastAsia="仿宋" w:cs="仿宋"/>
          <w:szCs w:val="21"/>
        </w:rPr>
      </w:pPr>
    </w:p>
    <w:p>
      <w:pPr>
        <w:pStyle w:val="b1057582"/>
        <w:spacing w:line="360" w:lineRule="auto"/>
        <w:rPr>
          <w:rFonts w:hint="eastAsia" w:ascii="仿宋" w:hAnsi="仿宋" w:eastAsia="仿宋" w:cs="仿宋"/>
          <w:szCs w:val="21"/>
        </w:rPr>
      </w:pPr>
    </w:p>
    <w:p>
      <w:pPr>
        <w:pStyle w:val="b1057582"/>
        <w:spacing w:line="360" w:lineRule="auto"/>
        <w:rPr>
          <w:rFonts w:hint="eastAsia" w:ascii="仿宋" w:hAnsi="仿宋" w:eastAsia="仿宋" w:cs="仿宋"/>
          <w:szCs w:val="21"/>
        </w:rPr>
      </w:pPr>
    </w:p>
    <w:p>
      <w:pPr>
        <w:pStyle w:val="b1057582"/>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b1057582"/>
        <w:pageBreakBefore w:val="true"/>
      </w:pPr>
    </w:p>
    <w:p>
      <w:pPr>
        <w:pStyle w:val="e7119d05"/>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4" o:title=""/>
            <o:lock v:ext="edit" grouping="f" rotation="f" text="f" aspectratio="t"/>
            <w10:wrap type="none"/>
            <w10:anchorlock/>
          </v:shape>
        </w:pict>
      </w:r>
    </w:p>
    <w:p>
      <w:pPr>
        <w:pStyle w:val="e7119d05"/>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e7119d05"/>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e7119d05"/>
        <w:adjustRightInd w:val="0"/>
        <w:snapToGrid w:val="0"/>
        <w:spacing w:line="360" w:lineRule="auto"/>
        <w:jc w:val="center"/>
        <w:rPr>
          <w:rFonts w:hint="eastAsia" w:ascii="仿宋" w:hAnsi="仿宋" w:eastAsia="仿宋" w:cs="仿宋"/>
          <w:b/>
          <w:szCs w:val="21"/>
        </w:rPr>
      </w:pPr>
    </w:p>
    <w:p>
      <w:pPr>
        <w:pStyle w:val="e7119d05"/>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e7119d05"/>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e7119d05"/>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e7119d05"/>
        <w:adjustRightInd w:val="0"/>
        <w:snapToGrid w:val="0"/>
        <w:spacing w:line="360" w:lineRule="auto"/>
        <w:ind w:firstLine="422" w:firstLineChars="200"/>
        <w:jc w:val="left"/>
        <w:rPr>
          <w:rFonts w:hint="eastAsia" w:ascii="仿宋" w:hAnsi="仿宋" w:eastAsia="仿宋" w:cs="仿宋"/>
          <w:b/>
          <w:color w:val="000000"/>
          <w:szCs w:val="21"/>
        </w:rPr>
      </w:pP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e7119d05"/>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e7119d05"/>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e7119d05"/>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e7119d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e7119d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e7119d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e7119d05"/>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e7119d05"/>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e7119d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e7119d05"/>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e7119d05"/>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e7119d05"/>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e7119d05"/>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e7119d05"/>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e7119d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e7119d05"/>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e7119d05"/>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e7119d05"/>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e7119d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e7119d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e7119d05"/>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e7119d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e7119d05"/>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e7119d05"/>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e7119d05"/>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e7119d05"/>
        <w:adjustRightInd w:val="0"/>
        <w:snapToGrid w:val="0"/>
        <w:spacing w:line="360" w:lineRule="auto"/>
        <w:ind w:firstLine="420" w:firstLineChars="200"/>
        <w:rPr>
          <w:rFonts w:hint="eastAsia" w:ascii="仿宋" w:hAnsi="仿宋" w:eastAsia="仿宋" w:cs="仿宋"/>
          <w:color w:val="000000"/>
          <w:szCs w:val="21"/>
        </w:rPr>
      </w:pPr>
    </w:p>
    <w:p>
      <w:pPr>
        <w:pStyle w:val="e7119d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e7119d05"/>
        <w:adjustRightInd w:val="0"/>
        <w:snapToGrid w:val="0"/>
        <w:spacing w:line="360" w:lineRule="auto"/>
        <w:ind w:firstLine="422" w:firstLineChars="200"/>
        <w:rPr>
          <w:rFonts w:hint="eastAsia" w:ascii="仿宋" w:hAnsi="仿宋" w:eastAsia="仿宋" w:cs="仿宋"/>
          <w:b/>
          <w:bCs/>
          <w:color w:val="000000"/>
          <w:szCs w:val="21"/>
        </w:rPr>
      </w:pPr>
    </w:p>
    <w:p>
      <w:pPr>
        <w:pStyle w:val="e7119d05"/>
        <w:adjustRightInd w:val="0"/>
        <w:snapToGrid w:val="0"/>
        <w:spacing w:line="360" w:lineRule="auto"/>
        <w:ind w:firstLine="422" w:firstLineChars="200"/>
        <w:rPr>
          <w:rFonts w:hint="eastAsia" w:ascii="仿宋" w:hAnsi="仿宋" w:eastAsia="仿宋" w:cs="仿宋"/>
          <w:b/>
          <w:bCs/>
          <w:color w:val="000000"/>
          <w:szCs w:val="21"/>
        </w:rPr>
      </w:pPr>
    </w:p>
    <w:p>
      <w:pPr>
        <w:pStyle w:val="e7119d05"/>
        <w:adjustRightInd w:val="0"/>
        <w:snapToGrid w:val="0"/>
        <w:spacing w:line="360" w:lineRule="auto"/>
        <w:ind w:firstLine="420" w:firstLineChars="200"/>
        <w:rPr>
          <w:rFonts w:hint="eastAsia" w:ascii="仿宋" w:hAnsi="仿宋" w:eastAsia="仿宋" w:cs="仿宋"/>
        </w:rPr>
      </w:pPr>
    </w:p>
    <w:p>
      <w:pPr>
        <w:pStyle w:val="e7119d05"/>
        <w:adjustRightInd w:val="0"/>
        <w:snapToGrid w:val="0"/>
        <w:spacing w:line="360" w:lineRule="auto"/>
        <w:ind w:firstLine="420" w:firstLineChars="200"/>
        <w:rPr>
          <w:rFonts w:hint="eastAsia" w:ascii="仿宋" w:hAnsi="仿宋" w:eastAsia="仿宋" w:cs="仿宋"/>
        </w:rPr>
      </w:pPr>
    </w:p>
    <w:p>
      <w:pPr>
        <w:pStyle w:val="e7119d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e7119d05"/>
        <w:adjustRightInd w:val="0"/>
        <w:snapToGrid w:val="0"/>
        <w:spacing w:line="360" w:lineRule="auto"/>
        <w:ind w:firstLine="420" w:firstLineChars="200"/>
        <w:rPr>
          <w:rFonts w:hint="eastAsia" w:ascii="仿宋" w:hAnsi="仿宋" w:eastAsia="仿宋" w:cs="仿宋"/>
          <w:color w:val="000000"/>
          <w:szCs w:val="21"/>
        </w:rPr>
      </w:pPr>
    </w:p>
    <w:p>
      <w:pPr>
        <w:pStyle w:val="e7119d05"/>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e7119d05"/>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e7119d05"/>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e7119d05"/>
        <w:pageBreakBefore w:val="true"/>
      </w:pPr>
    </w:p>
    <w:p>
      <w:pPr>
        <w:pStyle w:val="b5f8775c"/>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b5f8775c"/>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pStyle w:val="b5f8775c"/>
        <w:spacing w:line="360" w:lineRule="auto"/>
        <w:jc w:val="center"/>
        <w:rPr>
          <w:rFonts w:hint="eastAsia" w:ascii="仿宋" w:hAnsi="仿宋" w:eastAsia="仿宋" w:cs="仿宋"/>
          <w:b/>
          <w:szCs w:val="21"/>
        </w:rPr>
      </w:pPr>
    </w:p>
    <w:p>
      <w:pPr>
        <w:pStyle w:val="b5f8775c"/>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b5f8775c"/>
        <w:spacing w:line="360" w:lineRule="auto"/>
        <w:ind w:firstLine="422" w:firstLineChars="200"/>
        <w:rPr>
          <w:rFonts w:hint="eastAsia" w:ascii="仿宋" w:hAnsi="仿宋" w:eastAsia="仿宋" w:cs="仿宋"/>
          <w:b/>
          <w:szCs w:val="21"/>
          <w:u w:val="single"/>
        </w:rPr>
      </w:pPr>
    </w:p>
    <w:p>
      <w:pPr>
        <w:pStyle w:val="b5f8775c"/>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b5f8775c"/>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b5f8775c"/>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b5f8775c"/>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pStyle w:val="b5f8775c"/>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pStyle w:val="b5f8775c"/>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81ec2bfd"/>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pStyle w:val="b5f8775c"/>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pStyle w:val="b5f8775c"/>
        <w:adjustRightInd w:val="0"/>
        <w:snapToGrid w:val="0"/>
        <w:spacing w:line="360" w:lineRule="auto"/>
        <w:ind w:firstLine="420" w:firstLineChars="200"/>
        <w:rPr>
          <w:rFonts w:hint="eastAsia" w:ascii="仿宋" w:hAnsi="仿宋" w:eastAsia="仿宋" w:cs="仿宋"/>
          <w:szCs w:val="21"/>
        </w:rPr>
      </w:pPr>
      <w:bookmarkStart w:id="0" w:name="_GoBack"/>
      <w:bookmarkEnd w:id="0"/>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pStyle w:val="b5f8775c"/>
        <w:adjustRightInd w:val="0"/>
        <w:snapToGrid w:val="0"/>
        <w:spacing w:line="360" w:lineRule="auto"/>
        <w:ind w:firstLine="422" w:firstLineChars="200"/>
        <w:rPr>
          <w:rFonts w:hint="eastAsia" w:ascii="仿宋" w:hAnsi="仿宋" w:eastAsia="仿宋" w:cs="仿宋"/>
          <w:b/>
          <w:bCs/>
          <w:color w:val="000000"/>
          <w:szCs w:val="21"/>
        </w:rPr>
      </w:pPr>
    </w:p>
    <w:p>
      <w:pPr>
        <w:pStyle w:val="b5f8775c"/>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pStyle w:val="b5f8775c"/>
        <w:adjustRightInd w:val="0"/>
        <w:snapToGrid w:val="0"/>
        <w:spacing w:line="360" w:lineRule="auto"/>
        <w:ind w:firstLine="422" w:firstLineChars="200"/>
        <w:rPr>
          <w:rFonts w:hint="eastAsia" w:ascii="仿宋" w:hAnsi="仿宋" w:eastAsia="仿宋" w:cs="仿宋"/>
          <w:b/>
          <w:bCs/>
          <w:color w:val="000000"/>
          <w:szCs w:val="21"/>
        </w:rPr>
      </w:pP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b5f8775c"/>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b5f8775c"/>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b5f8775c"/>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pStyle w:val="b5f8775c"/>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pStyle w:val="b5f8775c"/>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pStyle w:val="b5f8775c"/>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pStyle w:val="b5f8775c"/>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pStyle w:val="b5f8775c"/>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pStyle w:val="b5f8775c"/>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pStyle w:val="b5f8775c"/>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pStyle w:val="b5f8775c"/>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pStyle w:val="b5f8775c"/>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pStyle w:val="b5f8775c"/>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pStyle w:val="b5f8775c"/>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pStyle w:val="b5f8775c"/>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pStyle w:val="b5f8775c"/>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pStyle w:val="b5f8775c"/>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pStyle w:val="b5f8775c"/>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pStyle w:val="b5f8775c"/>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b5f8775c"/>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81ec2bfd"/>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b5f8775c"/>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b5f8775c"/>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b5f8775c"/>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b5f8775c"/>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b5f8775c"/>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pStyle w:val="b5f8775c"/>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pStyle w:val="b5f8775c"/>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pStyle w:val="b5f8775c"/>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pStyle w:val="b5f8775c"/>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pStyle w:val="b5f8775c"/>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pStyle w:val="b5f8775c"/>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pStyle w:val="b5f8775c"/>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pStyle w:val="b5f8775c"/>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pStyle w:val="b5f8775c"/>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b5f8775c"/>
        <w:adjustRightInd w:val="0"/>
        <w:snapToGrid w:val="0"/>
        <w:spacing w:line="360" w:lineRule="auto"/>
        <w:rPr>
          <w:rFonts w:hint="eastAsia" w:ascii="仿宋" w:hAnsi="仿宋" w:eastAsia="仿宋" w:cs="仿宋"/>
          <w:color w:val="000000"/>
          <w:szCs w:val="21"/>
        </w:rPr>
      </w:pPr>
    </w:p>
    <w:p>
      <w:pPr>
        <w:pStyle w:val="b5f8775c"/>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pStyle w:val="b5f8775c"/>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pStyle w:val="b5f8775c"/>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pStyle w:val="b5f8775c"/>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pStyle w:val="b5f8775c"/>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body>
</w:document>
</file>

<file path=word/numbering.xml><?xml version="1.0" encoding="utf-8"?>
<w:numbering xmlns:w="http://schemas.openxmlformats.org/wordprocessingml/2006/main">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1">
    <w:multiLevelType w:val="multilevel"/>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1"/>
  </w:num>
</w:numbering>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qFormat/>
    <w:uiPriority w:val="0"/>
    <w:pPr>
      <w:keepNext/>
      <w:keepLines/>
      <w:spacing w:before="340" w:after="330" w:line="578" w:lineRule="auto"/>
      <w:outlineLvl w:val="0"/>
    </w:pPr>
    <w:rPr>
      <w:b/>
      <w:bCs/>
      <w:sz w:val="44"/>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qFormat/>
    <w:uiPriority w:val="0"/>
    <w:pPr>
      <w:keepNext/>
      <w:keepLines/>
      <w:spacing w:before="260" w:after="260" w:line="415" w:lineRule="auto"/>
      <w:outlineLvl w:val="1"/>
    </w:pPr>
    <w:rPr>
      <w:rFonts w:ascii="Arial" w:hAnsi="Arial" w:eastAsia="黑体"/>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qFormat/>
    <w:uiPriority w:val="0"/>
    <w:pPr>
      <w:keepNext/>
      <w:keepLines/>
      <w:spacing w:before="260" w:after="260" w:line="413" w:lineRule="auto"/>
      <w:outlineLvl w:val="2"/>
    </w:pPr>
    <w:rPr>
      <w:rFonts w:ascii="Calibri" w:hAnsi="Calibri"/>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61"/>
    <w:unhideWhenUsed/>
    <w:qFormat/>
    <w:uiPriority w:val="9"/>
    <w:pPr>
      <w:keepNext/>
      <w:keepLines/>
      <w:spacing w:before="80" w:after="40"/>
      <w:outlineLvl w:val="3"/>
    </w:pPr>
    <w:rPr>
      <w:rFonts w:ascii="Arial" w:hAnsi="Arial" w:eastAsia="Arial" w:cs="Arial"/>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2"/>
    <w:unhideWhenUsed/>
    <w:qFormat/>
    <w:uiPriority w:val="9"/>
    <w:pPr>
      <w:keepNext/>
      <w:keepLines/>
      <w:spacing w:before="80" w:after="40"/>
      <w:outlineLvl w:val="4"/>
    </w:pPr>
    <w:rPr>
      <w:rFonts w:ascii="Arial" w:hAnsi="Arial" w:eastAsia="Arial" w:cs="Arial"/>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3"/>
    <w:unhideWhenUsed/>
    <w:qFormat/>
    <w:uiPriority w:val="9"/>
    <w:pPr>
      <w:keepNext/>
      <w:keepLines/>
      <w:spacing w:before="40" w:after="0"/>
      <w:outlineLvl w:val="5"/>
    </w:pPr>
    <w:rPr>
      <w:rFonts w:ascii="Arial" w:hAnsi="Arial" w:eastAsia="Arial" w:cs="Arial"/>
      <w:i/>
      <w:iCs/>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4"/>
    <w:unhideWhenUsed/>
    <w:qFormat/>
    <w:uiPriority w:val="9"/>
    <w:pPr>
      <w:keepNext/>
      <w:keepLines/>
      <w:spacing w:before="40" w:after="0"/>
      <w:outlineLvl w:val="6"/>
    </w:pPr>
    <w:rPr>
      <w:rFonts w:ascii="Arial" w:hAnsi="Arial" w:eastAsia="Arial" w:cs="Arial"/>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5"/>
    <w:unhideWhenUsed/>
    <w:qFormat/>
    <w:uiPriority w:val="9"/>
    <w:pPr>
      <w:keepNext/>
      <w:keepLines/>
      <w:spacing w:after="0"/>
      <w:outlineLvl w:val="7"/>
    </w:pPr>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6"/>
    <w:unhideWhenUsed/>
    <w:qFormat/>
    <w:uiPriority w:val="9"/>
    <w:pPr>
      <w:keepNext/>
      <w:keepLines/>
      <w:spacing w:after="0"/>
      <w:outlineLvl w:val="8"/>
    </w:pPr>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Default Paragraph Font25"/>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3">
    <w:name w:val="Normal Table23"/>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1F497D" w:themeColor="text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Body Text Indent 214"/>
    <w:basedOn w:val="1"/>
    <w:unhideWhenUsed/>
    <w:qFormat/>
    <w:uiPriority w:val="0"/>
    <w:pPr>
      <w:ind w:firstLine="60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endnote text15"/>
    <w:basedOn w:val="1"/>
    <w:link w:val="183"/>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Balloon Text16"/>
    <w:basedOn w:val="1"/>
    <w:semiHidden/>
    <w:qFormat/>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footer17"/>
    <w:basedOn w:val="1"/>
    <w:unhideWhenUsed/>
    <w:qFormat/>
    <w:uiPriority w:val="0"/>
    <w:pPr>
      <w:tabs>
        <w:tab w:val="center" w:pos="4153"/>
        <w:tab w:val="right" w:pos="8306"/>
      </w:tabs>
      <w:jc w:val="left"/>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header18"/>
    <w:basedOn w:val="1"/>
    <w:unhideWhenUsed/>
    <w:qFormat/>
    <w:uiPriority w:val="0"/>
    <w:pPr>
      <w:pBdr>
        <w:bottom w:val="single" w:color="000000" w:sz="6" w:space="1"/>
      </w:pBdr>
      <w:tabs>
        <w:tab w:val="center" w:pos="4153"/>
        <w:tab w:val="right" w:pos="8306"/>
      </w:tabs>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Subtitle19"/>
    <w:basedOn w:val="1"/>
    <w:next w:val="1"/>
    <w:link w:val="168"/>
    <w:qFormat/>
    <w:uiPriority w:val="11"/>
    <w:rPr>
      <w:color w:val="585858" w:themeColor="text1" w:themeTint="A6"/>
      <w:spacing w:val="15"/>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footnote text20"/>
    <w:basedOn w:val="1"/>
    <w:link w:val="182"/>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1">
    <w:name w:val="table of figures21"/>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2">
    <w:name w:val="Title22"/>
    <w:basedOn w:val="1"/>
    <w:next w:val="1"/>
    <w:link w:val="167"/>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4">
    <w:name w:val="Table Grid24"/>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Strong26"/>
    <w:basedOn w:val="25"/>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ndnote reference27"/>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FollowedHyperlink28"/>
    <w:basedOn w:val="25"/>
    <w:semiHidden/>
    <w:unhideWhenUsed/>
    <w:qFormat/>
    <w:uiPriority w:val="99"/>
    <w:rPr>
      <w:color w:val="800080" w:themeColor="followedHyperlink"/>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Emphasis29"/>
    <w:basedOn w:val="25"/>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Hyperlink30"/>
    <w:basedOn w:val="25"/>
    <w:unhideWhenUsed/>
    <w:qFormat/>
    <w:uiPriority w:val="99"/>
    <w:rPr>
      <w:color w:val="0000FF" w:themeColor="hyperlink"/>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1">
    <w:name w:val="annotation reference31"/>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2">
    <w:name w:val="footnote reference32"/>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Table Grid Light33"/>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134"/>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235"/>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336"/>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Plain Table 437"/>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Plain Table 538"/>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39"/>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140"/>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241"/>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342"/>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443"/>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1 Light - Accent 544"/>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1 Light - Accent 645"/>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46"/>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147"/>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248"/>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349"/>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450"/>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2 - Accent 551"/>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2 - Accent 652"/>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5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154"/>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255"/>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356"/>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457"/>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3 - Accent 558"/>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3 - Accent 659"/>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60"/>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161"/>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262"/>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363"/>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464"/>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4 - Accent 565"/>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4 - Accent 666"/>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67"/>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Accent 168"/>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 Accent 269"/>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370"/>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Accent 47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5 Dark - Accent 57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5 Dark - Accent 67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74"/>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175"/>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276"/>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377"/>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478"/>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6 Colorful - Accent 579"/>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6 Colorful - Accent 680"/>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9" w:themeColor="accent5" w:themeShade="95"/>
        <w:sz w:val="22"/>
      </w:rPr>
      <w:tcPr>
        <w:shd w:val="clear" w:color="FDE9D9" w:themeColor="accent6" w:themeTint="34" w:fill="FDE9D9" w:themeFill="accent6"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81"/>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182"/>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283"/>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384"/>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485"/>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Grid Table 7 Colorful - Accent 586"/>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Grid Table 7 Colorful - Accent 687"/>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15407" w:themeColor="accent6" w:themeShade="95"/>
        <w:sz w:val="22"/>
      </w:rPr>
      <w:tcPr>
        <w:shd w:val="clear" w:color="FDE9D9" w:themeColor="accent6" w:themeTint="34" w:fill="FDE9D9" w:themeFill="accent6" w:themeFillTint="34"/>
      </w:tcPr>
    </w:tblStylePr>
    <w:tblStylePr w:type="band2Horz">
      <w:rPr>
        <w:rFonts w:ascii="Arial" w:hAnsi="Arial"/>
        <w:color w:val="B15407" w:themeColor="accent6"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88"/>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189"/>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290"/>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391"/>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492"/>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1 Light - Accent 593"/>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1 Light - Accent 694"/>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95"/>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196"/>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297"/>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398"/>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499"/>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2 - Accent 5100"/>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2 - Accent 6101"/>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102"/>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1103"/>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2104"/>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3105"/>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4106"/>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3 - Accent 5107"/>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3 - Accent 6108"/>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109"/>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1110"/>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2111"/>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3112"/>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4113"/>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4 - Accent 5114"/>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4 - Accent 6115"/>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116"/>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1117"/>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2118"/>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3119"/>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4120"/>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5 Dark - Accent 5121"/>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5 Dark - Accent 6122"/>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123"/>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1124"/>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2125"/>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3126"/>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4127"/>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6 Colorful - Accent 5128"/>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6 Colorful - Accent 6129"/>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130"/>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1131"/>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2132"/>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3133"/>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4134"/>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st Table 7 Colorful - Accent 5135"/>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st Table 7 Colorful - Accent 6136"/>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137"/>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1138"/>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2139"/>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3140"/>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4141"/>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Lined - Accent 5142"/>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Lined - Accent 6143"/>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144"/>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1145"/>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2146"/>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3147"/>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4148"/>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 &amp; Lined - Accent 5149"/>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amp; Lined - Accent 6150"/>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151"/>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1152"/>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2153"/>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3154"/>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4155"/>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6">
    <w:name w:val="Bordered - Accent 5156"/>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7">
    <w:name w:val="Bordered - Accent 6157"/>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1 Char158"/>
    <w:basedOn w:val="25"/>
    <w:qFormat/>
    <w:uiPriority w:val="9"/>
    <w:rPr>
      <w:rFonts w:ascii="Arial" w:hAnsi="Arial" w:eastAsia="Arial" w:cs="Arial"/>
      <w:color w:val="366091"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2 Char159"/>
    <w:basedOn w:val="25"/>
    <w:qFormat/>
    <w:uiPriority w:val="9"/>
    <w:rPr>
      <w:rFonts w:ascii="Arial" w:hAnsi="Arial" w:eastAsia="Arial" w:cs="Arial"/>
      <w:color w:val="366091"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3 Char160"/>
    <w:basedOn w:val="25"/>
    <w:qFormat/>
    <w:uiPriority w:val="9"/>
    <w:rPr>
      <w:rFonts w:ascii="Arial" w:hAnsi="Arial" w:eastAsia="Arial" w:cs="Arial"/>
      <w:color w:val="366091"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4 Char161"/>
    <w:basedOn w:val="25"/>
    <w:link w:val="5"/>
    <w:qFormat/>
    <w:uiPriority w:val="9"/>
    <w:rPr>
      <w:rFonts w:ascii="Arial" w:hAnsi="Arial" w:eastAsia="Arial" w:cs="Arial"/>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5 Char162"/>
    <w:basedOn w:val="25"/>
    <w:link w:val="6"/>
    <w:qFormat/>
    <w:uiPriority w:val="9"/>
    <w:rPr>
      <w:rFonts w:ascii="Arial" w:hAnsi="Arial" w:eastAsia="Arial" w:cs="Arial"/>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6 Char163"/>
    <w:basedOn w:val="25"/>
    <w:link w:val="7"/>
    <w:qFormat/>
    <w:uiPriority w:val="9"/>
    <w:rPr>
      <w:rFonts w:ascii="Arial" w:hAnsi="Arial" w:eastAsia="Arial" w:cs="Arial"/>
      <w:i/>
      <w:iCs/>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7 Char164"/>
    <w:basedOn w:val="25"/>
    <w:link w:val="8"/>
    <w:qFormat/>
    <w:uiPriority w:val="9"/>
    <w:rPr>
      <w:rFonts w:ascii="Arial" w:hAnsi="Arial" w:eastAsia="Arial" w:cs="Arial"/>
      <w:color w:val="585858" w:themeColor="text1" w:themeTint="A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Heading 8 Char165"/>
    <w:basedOn w:val="25"/>
    <w:link w:val="9"/>
    <w:qFormat/>
    <w:uiPriority w:val="9"/>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Heading 9 Char166"/>
    <w:basedOn w:val="25"/>
    <w:link w:val="10"/>
    <w:qFormat/>
    <w:uiPriority w:val="9"/>
    <w:rPr>
      <w:rFonts w:ascii="Arial" w:hAnsi="Arial" w:eastAsia="Arial" w:cs="Arial"/>
      <w:i/>
      <w:iCs/>
      <w:color w:val="262626" w:themeColor="text1" w:themeTint="D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7">
    <w:name w:val="Title Char167"/>
    <w:basedOn w:val="25"/>
    <w:link w:val="22"/>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Subtitle Char168"/>
    <w:basedOn w:val="25"/>
    <w:link w:val="19"/>
    <w:qFormat/>
    <w:uiPriority w:val="11"/>
    <w:rPr>
      <w:color w:val="585858" w:themeColor="text1" w:themeTint="A6"/>
      <w:spacing w:val="15"/>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Quote169"/>
    <w:basedOn w:val="1"/>
    <w:next w:val="1"/>
    <w:link w:val="170"/>
    <w:qFormat/>
    <w:uiPriority w:val="29"/>
    <w:pPr>
      <w:spacing w:before="160"/>
      <w:jc w:val="center"/>
    </w:pPr>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Quote Char170"/>
    <w:basedOn w:val="25"/>
    <w:link w:val="169"/>
    <w:qFormat/>
    <w:uiPriority w:val="29"/>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List Paragraph171"/>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Emphasis172"/>
    <w:basedOn w:val="25"/>
    <w:qFormat/>
    <w:uiPriority w:val="21"/>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3">
    <w:name w:val="Intense Quote173"/>
    <w:basedOn w:val="1"/>
    <w:next w:val="1"/>
    <w:link w:val="174"/>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4">
    <w:name w:val="Intense Quote Char174"/>
    <w:basedOn w:val="25"/>
    <w:link w:val="173"/>
    <w:qFormat/>
    <w:uiPriority w:val="30"/>
    <w:rPr>
      <w:i/>
      <w:iCs/>
      <w:color w:val="366091"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Intense Reference175"/>
    <w:basedOn w:val="25"/>
    <w:qFormat/>
    <w:uiPriority w:val="32"/>
    <w:rPr>
      <w:b/>
      <w:bCs/>
      <w:smallCaps/>
      <w:color w:val="366091"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6">
    <w:name w:val="No Spacing176"/>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Subtle Emphasis177"/>
    <w:basedOn w:val="25"/>
    <w:qFormat/>
    <w:uiPriority w:val="19"/>
    <w:rPr>
      <w:i/>
      <w:iCs/>
      <w:color w:val="3F3F3F" w:themeColor="text1" w:themeTint="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Subtle Reference178"/>
    <w:basedOn w:val="25"/>
    <w:qFormat/>
    <w:uiPriority w:val="31"/>
    <w:rPr>
      <w:smallCaps/>
      <w:color w:val="595959" w:themeColor="text1" w:themeTint="A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Book Title179"/>
    <w:basedOn w:val="25"/>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Header Char180"/>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Footer Char181"/>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2">
    <w:name w:val="Footnote Text Char182"/>
    <w:basedOn w:val="25"/>
    <w:link w:val="20"/>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3">
    <w:name w:val="Endnote Text Char183"/>
    <w:basedOn w:val="25"/>
    <w:link w:val="15"/>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4">
    <w:name w:val="TOC Heading184"/>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5">
    <w:name w:val="Revision185"/>
    <w:unhideWhenUsed/>
    <w:qFormat/>
    <w:uiPriority w:val="99"/>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6">
    <w:name w:val="正文 A186"/>
    <w:qFormat/>
    <w:uiPriority w:val="0"/>
    <w:pPr>
      <w:widowControl w:val="0"/>
      <w:spacing w:line="560" w:lineRule="atLeast"/>
      <w:ind w:firstLine="640"/>
      <w:jc w:val="both"/>
    </w:pPr>
    <w:rPr>
      <w:rFonts w:hint="default" w:ascii="Arial Unicode MS" w:hAnsi="Arial Unicode MS" w:eastAsia="宋体" w:cs="Arial Unicode MS"/>
      <w:color w:val="000000"/>
      <w:sz w:val="32"/>
      <w:szCs w:val="32"/>
      <w:u w:val="none"/>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7">
    <w:name w:val="p0187"/>
    <w:basedOn w:val="1"/>
    <w:qFormat/>
    <w:uiPriority w:val="0"/>
    <w:pPr>
      <w:widowControl/>
    </w:pPr>
    <w:rPr>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8">
    <w:name w:val="Default188"/>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9">
    <w:name w:val="YJH-nei189"/>
    <w:qFormat/>
    <w:uiPriority w:val="0"/>
    <w:pPr>
      <w:spacing w:line="600" w:lineRule="exact"/>
      <w:ind w:firstLine="200"/>
    </w:pPr>
    <w:rPr>
      <w:rFonts w:hint="default" w:ascii="仿宋_GB2312" w:hAnsi="宋体" w:eastAsia="仿宋_GB2312" w:cs="Times New Roman"/>
      <w:sz w:val="30"/>
      <w:szCs w:val="30"/>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0">
    <w:name w:val="font11190"/>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1">
    <w:name w:val="font01191"/>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2">
    <w:name w:val="font51192"/>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3">
    <w:name w:val="font81193"/>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f2b0b91">
    <w:name w:val="Normalef2b0b91"/>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d5efebd">
    <w:name w:val="heading 24d5efebd"/>
    <w:basedOn w:val="ef2b0b91"/>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aae9766">
    <w:name w:val="Default Paragraph Font2aae9766"/>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f488b251">
    <w:name w:val="Normal Tablef488b251"/>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662d02d">
    <w:name w:val="annotation text0662d02d"/>
    <w:basedOn w:val="ef2b0b91"/>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3e414dd">
    <w:name w:val="Body Text Indent63e414dd"/>
    <w:basedOn w:val="ef2b0b91"/>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59341e6">
    <w:name w:val="Balloon Text359341e6"/>
    <w:basedOn w:val="ef2b0b91"/>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94ba4f8">
    <w:name w:val="footer394ba4f8"/>
    <w:basedOn w:val="ef2b0b91"/>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e007b70">
    <w:name w:val="header5e007b70"/>
    <w:basedOn w:val="ef2b0b9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5ee4b7d">
    <w:name w:val="annotation subject95ee4b7d"/>
    <w:basedOn w:val="0662d02d"/>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7426b708">
    <w:name w:val="Table Grid7426b708"/>
    <w:basedOn w:val="f488b251"/>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aac258c">
    <w:name w:val="Char Char Char Char Char Char Char Char Char Char Char Charcaac258c"/>
    <w:basedOn w:val="ef2b0b91"/>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6247a77">
    <w:name w:val="Strong16247a77"/>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f9f34db">
    <w:name w:val="page numberef9f34db"/>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bb807bc">
    <w:name w:val="Hyperlink8bb807bc"/>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12cd5bb">
    <w:name w:val="annotation reference112cd5bb"/>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56e080c">
    <w:name w:val="标题 2 字符056e080c"/>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1f899b7">
    <w:name w:val="批注文字 字符81f899b7"/>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1d98a15">
    <w:name w:val="批注框文本 字符81d98a15"/>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5e061fb">
    <w:name w:val="页脚 字符45e061fb"/>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6e30b76">
    <w:name w:val="页眉 字符66e30b76"/>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b50c1de">
    <w:name w:val="Defaultfb50c1de"/>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cffd2f6">
    <w:name w:val="ecxmsonormal0cffd2f6"/>
    <w:basedOn w:val="ef2b0b91"/>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d1c9cad">
    <w:name w:val="_Style 222d1c9cad"/>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1057582">
    <w:name w:val="Normalb1057582"/>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8653597">
    <w:name w:val="heading 298653597"/>
    <w:basedOn w:val="b1057582"/>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42b83ce">
    <w:name w:val="Default Paragraph Font742b83ce"/>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a9d99060">
    <w:name w:val="Normal Tablea9d99060"/>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1f85bd5">
    <w:name w:val="annotation textb1f85bd5"/>
    <w:basedOn w:val="b1057582"/>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adf209b">
    <w:name w:val="Body Text Indent8adf209b"/>
    <w:basedOn w:val="b1057582"/>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2865955">
    <w:name w:val="Balloon Text32865955"/>
    <w:basedOn w:val="b1057582"/>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b053637">
    <w:name w:val="footerfb053637"/>
    <w:basedOn w:val="b1057582"/>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33fcef1">
    <w:name w:val="header233fcef1"/>
    <w:basedOn w:val="b1057582"/>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afe2fb0">
    <w:name w:val="annotation subjectdafe2fb0"/>
    <w:basedOn w:val="b1f85bd5"/>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7e83de1d">
    <w:name w:val="Table Grid7e83de1d"/>
    <w:basedOn w:val="a9d99060"/>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21474c4">
    <w:name w:val="Char Char Char Char Char Char Char Char Char Char Char Char321474c4"/>
    <w:basedOn w:val="b1057582"/>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1ac9f8b">
    <w:name w:val="page number91ac9f8b"/>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726167e">
    <w:name w:val="Hyperlink0726167e"/>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37affd9">
    <w:name w:val="annotation reference137affd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e0e50b6">
    <w:name w:val="标题 2 字符8e0e50b6"/>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0677c1f">
    <w:name w:val="批注文字 字符90677c1f"/>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7a2db88">
    <w:name w:val="批注框文本 字符d7a2db88"/>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bc5f9f1">
    <w:name w:val="页脚 字符2bc5f9f1"/>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1534a9f">
    <w:name w:val="页眉 字符c1534a9f"/>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d08d998e">
    <w:name w:val="Defaultd08d998e"/>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7d97e4a">
    <w:name w:val="_Style 2117d97e4a"/>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11133b5">
    <w:name w:val="ecxmsonormal911133b5"/>
    <w:basedOn w:val="b1057582"/>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7119d05">
    <w:name w:val="Normale7119d05"/>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d3b4835">
    <w:name w:val="heading 19d3b4835"/>
    <w:basedOn w:val="e7119d05"/>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23ee6e7">
    <w:name w:val="heading 2c23ee6e7"/>
    <w:basedOn w:val="e7119d05"/>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84aa7af">
    <w:name w:val="heading 3684aa7af"/>
    <w:basedOn w:val="e7119d05"/>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8504088">
    <w:name w:val="Default Paragraph Fontc8504088"/>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d0302bbd">
    <w:name w:val="Normal Tabled0302bbd"/>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71a7110">
    <w:name w:val="annotation text271a7110"/>
    <w:basedOn w:val="e7119d05"/>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786f4af">
    <w:name w:val="Balloon Text9786f4af"/>
    <w:basedOn w:val="e7119d05"/>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6961965">
    <w:name w:val="footerb6961965"/>
    <w:basedOn w:val="e7119d05"/>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d294d6e">
    <w:name w:val="headerfd294d6e"/>
    <w:basedOn w:val="e7119d05"/>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a245d04">
    <w:name w:val="Normal (Web)fa245d04"/>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06dc028">
    <w:name w:val="annotation subject006dc028"/>
    <w:basedOn w:val="271a7110"/>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2a4f417">
    <w:name w:val="annotation reference42a4f417"/>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2fb0455">
    <w:name w:val="标题 1 字符92fb0455"/>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8eeba76">
    <w:name w:val="标题 2 字符f8eeba76"/>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0aee051">
    <w:name w:val="标题 3 字符10aee051"/>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6abd351">
    <w:name w:val="批注文字 字符86abd351"/>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c1df17d">
    <w:name w:val="批注框文本 字符9c1df17d"/>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8242203">
    <w:name w:val="页脚 字符68242203"/>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7fbe35a">
    <w:name w:val="页眉 字符e7fbe35a"/>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e763ab9">
    <w:name w:val="批注主题 字符3e763ab9"/>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f8f888e">
    <w:name w:val="Char Char Char Char Char Char Char Char Char Char Char Charcf8f888e"/>
    <w:basedOn w:val="e7119d05"/>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5f8775c">
    <w:name w:val="Normalb5f8775c"/>
    <w:qFormat/>
    <w:uiPriority w:val="0"/>
    <w:pPr>
      <w:widowControl w:val="0"/>
      <w:spacing w:line="560" w:lineRule="exact"/>
      <w:jc w:val="both"/>
    </w:pPr>
    <w:rPr>
      <w:kern w:val="2"/>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8f898f9">
    <w:name w:val="Default Paragraph Fontd8f898f9"/>
    <w:link w:val="11"/>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81ec2bfd">
    <w:name w:val="Normal Table81ec2bfd"/>
    <w:semiHidden/>
    <w:qFormat/>
    <w:uiPriority w:val="0"/>
    <w:tblPr>
      <w:tblStyle w:val="8"/>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18001de">
    <w:name w:val="annotation text618001de"/>
    <w:basedOn w:val="b5f8775c"/>
    <w:link w:val="14"/>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4527f0c">
    <w:name w:val="Body Text Indentf4527f0c"/>
    <w:basedOn w:val="b5f8775c"/>
    <w:unhideWhenUsed/>
    <w:qFormat/>
    <w:uiPriority w:val="0"/>
    <w:pPr>
      <w:ind w:firstLine="630"/>
    </w:pPr>
    <w:rPr>
      <w:kern w:val="0"/>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8af338f">
    <w:name w:val="Balloon Textf8af338f"/>
    <w:basedOn w:val="b5f8775c"/>
    <w:semiHidden/>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1989d02">
    <w:name w:val="footerd1989d02"/>
    <w:basedOn w:val="b5f8775c"/>
    <w:qFormat/>
    <w:uiPriority w:val="0"/>
    <w:pPr>
      <w:tabs>
        <w:tab w:val="center" w:pos="4153"/>
        <w:tab w:val="right" w:pos="8306"/>
      </w:tabs>
      <w:snapToGrid w:val="0"/>
      <w:spacing w:line="240" w:lineRule="atLeast"/>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3fe84a9">
    <w:name w:val="header03fe84a9"/>
    <w:basedOn w:val="b5f8775c"/>
    <w:link w:val="15"/>
    <w:unhideWhenUsed/>
    <w:qFormat/>
    <w:uiPriority w:val="99"/>
    <w:pPr>
      <w:pBdr>
        <w:bottom w:val="single" w:color="auto" w:sz="6" w:space="1"/>
      </w:pBdr>
      <w:tabs>
        <w:tab w:val="center" w:pos="4153"/>
        <w:tab w:val="right" w:pos="8306"/>
      </w:tabs>
      <w:snapToGrid w:val="0"/>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745d324">
    <w:name w:val="annotation subjectf745d324"/>
    <w:basedOn w:val="618001de"/>
    <w:next w:val="2"/>
    <w:link w:val="1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9cd34e">
    <w:name w:val="Table Grid229cd34e"/>
    <w:basedOn w:val="81ec2bfd"/>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785d7349">
    <w:name w:val="Char Char Char Char Char Char Char Char Char Char Char Char785d7349"/>
    <w:basedOn w:val="b5f8775c"/>
    <w:link w:val="10"/>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ee23270">
    <w:name w:val="Hyperlinkdee23270"/>
    <w:unhideWhenUsed/>
    <w:qFormat/>
    <w:uiPriority w:val="99"/>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b9ee071">
    <w:name w:val="annotation reference5b9ee071"/>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56b68b4">
    <w:name w:val="批注文字 字符956b68b4"/>
    <w:link w:val="2"/>
    <w:qFormat/>
    <w:uiPriority w:val="0"/>
    <w:rPr>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c1c75d6">
    <w:name w:val="页眉 字符1c1c75d6"/>
    <w:link w:val="6"/>
    <w:qFormat/>
    <w:uiPriority w:val="99"/>
    <w:rPr>
      <w:kern w:val="2"/>
      <w:sz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7509d1d">
    <w:name w:val="批注主题 字符07509d1d"/>
    <w:link w:val="7"/>
    <w:qFormat/>
    <w:uiPriority w:val="0"/>
    <w:rPr>
      <w:b/>
      <w:bCs/>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0d9074b">
    <w:name w:val="grame20d9074b"/>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f09b49c">
    <w:name w:val="defaultbf09b49c"/>
    <w:basedOn w:val="b5f8775c"/>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numbering.xml" Type="http://schemas.openxmlformats.org/officeDocument/2006/relationships/numbering"/><Relationship Id="rId4"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2026-02-10T06:39:31Z</dcterms:created>
  <dc:creator>Apache POI</dc:creator>
</cp:coreProperties>
</file>