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people+xml" PartName="/word/peop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仿宋" w:hAnsi="仿宋" w:eastAsia="仿宋" w:cs="仿宋"/>
          <w:b/>
          <w:sz w:val="32"/>
          <w:szCs w:val="32"/>
        </w:rPr>
      </w:pPr>
      <w:r>
        <w:rPr>
          <w:rFonts w:hint="eastAsia" w:ascii="仿宋" w:hAnsi="仿宋" w:eastAsia="仿宋" w:cs="仿宋"/>
          <w:sz w:val="36"/>
          <w:szCs w:val="36"/>
        </w:rPr>
        <w:pict>
          <v:shape id="_x0000_i1025" o:spt="75" type="#_x0000_t75" style="height:36.8pt;width:217.9pt;" filled="f" o:preferrelative="t" stroked="f" coordsize="21600,21600">
            <v:path/>
            <v:fill on="f" focussize="0,0"/>
            <v:stroke on="f"/>
            <v:imagedata r:id="rId8" o:title=""/>
            <o:lock v:ext="edit" aspectratio="t"/>
            <w10:wrap type="none"/>
            <w10:anchorlock/>
          </v:shape>
        </w:pict>
      </w:r>
    </w:p>
    <w:p>
      <w:pPr>
        <w:spacing w:line="360" w:lineRule="auto"/>
        <w:jc w:val="center"/>
        <w:rPr>
          <w:rFonts w:hint="eastAsia" w:ascii="方正小标宋_GBK" w:hAnsi="方正小标宋_GBK" w:eastAsia="方正小标宋_GBK" w:cs="方正小标宋_GBK"/>
          <w:bCs/>
          <w:sz w:val="32"/>
          <w:szCs w:val="21"/>
        </w:rPr>
      </w:pPr>
      <w:r>
        <w:rPr>
          <w:rFonts w:hint="eastAsia" w:ascii="方正小标宋_GBK" w:hAnsi="方正小标宋_GBK" w:eastAsia="方正小标宋_GBK" w:cs="方正小标宋_GBK"/>
          <w:bCs/>
          <w:sz w:val="32"/>
          <w:szCs w:val="21"/>
        </w:rPr>
        <w:t>华夏理财有限责任公司理财产品销售协议书</w:t>
      </w:r>
    </w:p>
    <w:p>
      <w:pPr>
        <w:spacing w:line="360" w:lineRule="auto"/>
        <w:jc w:val="center"/>
        <w:rPr>
          <w:rFonts w:hint="eastAsia" w:ascii="仿宋" w:hAnsi="仿宋" w:eastAsia="仿宋" w:cs="仿宋"/>
          <w:b/>
          <w:szCs w:val="21"/>
        </w:rPr>
      </w:pPr>
    </w:p>
    <w:p>
      <w:pPr>
        <w:spacing w:line="360" w:lineRule="auto"/>
        <w:ind w:firstLine="422" w:firstLineChars="200"/>
        <w:rPr>
          <w:rFonts w:hint="eastAsia" w:ascii="仿宋" w:hAnsi="仿宋" w:eastAsia="仿宋" w:cs="仿宋"/>
          <w:b/>
          <w:szCs w:val="21"/>
          <w:u w:val="single"/>
        </w:rPr>
      </w:pPr>
      <w:r>
        <w:rPr>
          <w:rFonts w:hint="eastAsia" w:ascii="仿宋" w:hAnsi="仿宋" w:eastAsia="仿宋" w:cs="仿宋"/>
          <w:b/>
          <w:szCs w:val="21"/>
        </w:rPr>
        <w:t>本协议适用于</w:t>
      </w:r>
      <w:r>
        <w:rPr>
          <w:rFonts w:hint="eastAsia" w:ascii="仿宋" w:hAnsi="仿宋" w:eastAsia="仿宋" w:cs="仿宋"/>
          <w:b/>
          <w:szCs w:val="21"/>
          <w:u w:val="single"/>
        </w:rPr>
        <w:t xml:space="preserve"> </w:t>
      </w:r>
      <w:r>
        <w:rPr>
          <w:rFonts w:hint="eastAsia" w:ascii="仿宋" w:hAnsi="仿宋" w:eastAsia="仿宋" w:cs="仿宋"/>
          <w:b/>
          <w:sz w:val="21"/>
          <w:szCs w:val="21"/>
          <w:u w:val="single"/>
        </w:rPr>
        <w:t xml:space="preserve"> </w:t>
      </w:r>
      <w:r>
        <w:rPr>
          <w:rFonts w:hint="eastAsia" w:ascii="微软简仿宋" w:hAnsi="宋体" w:eastAsia="微软简仿宋"/>
          <w:b/>
          <w:szCs w:val="21"/>
          <w:u w:val="single"/>
        </w:rPr>
        <w:t>厦门银行股份有限公司</w:t>
      </w:r>
      <w:r>
        <w:rPr>
          <w:rFonts w:hint="eastAsia" w:ascii="仿宋" w:hAnsi="仿宋" w:eastAsia="仿宋" w:cs="仿宋"/>
          <w:b/>
          <w:sz w:val="21"/>
          <w:szCs w:val="21"/>
          <w:u w:val="single"/>
        </w:rPr>
        <w:t xml:space="preserve"> </w:t>
      </w:r>
      <w:r>
        <w:rPr>
          <w:rFonts w:hint="eastAsia" w:ascii="仿宋" w:hAnsi="仿宋" w:eastAsia="仿宋" w:cs="仿宋"/>
          <w:b/>
          <w:szCs w:val="21"/>
          <w:u w:val="single"/>
        </w:rPr>
        <w:t xml:space="preserve"> 代理销售华夏理财有限责任公司发行的理财产品。</w:t>
      </w:r>
    </w:p>
    <w:p>
      <w:pPr>
        <w:spacing w:line="360" w:lineRule="auto"/>
        <w:ind w:firstLine="422" w:firstLineChars="200"/>
        <w:rPr>
          <w:rFonts w:hint="eastAsia" w:ascii="仿宋" w:hAnsi="仿宋" w:eastAsia="仿宋" w:cs="仿宋"/>
          <w:b/>
          <w:szCs w:val="21"/>
          <w:u w:val="single"/>
        </w:rPr>
      </w:pPr>
    </w:p>
    <w:p>
      <w:pPr>
        <w:spacing w:line="360" w:lineRule="auto"/>
        <w:jc w:val="center"/>
        <w:rPr>
          <w:rFonts w:hint="eastAsia" w:ascii="仿宋" w:hAnsi="仿宋" w:eastAsia="仿宋" w:cs="仿宋"/>
          <w:b/>
          <w:szCs w:val="21"/>
        </w:rPr>
      </w:pPr>
      <w:r>
        <w:rPr>
          <w:rFonts w:hint="eastAsia" w:ascii="仿宋" w:hAnsi="仿宋" w:eastAsia="仿宋" w:cs="仿宋"/>
          <w:b/>
          <w:szCs w:val="21"/>
        </w:rPr>
        <w:t>重要提示</w:t>
      </w:r>
    </w:p>
    <w:p>
      <w:pPr>
        <w:spacing w:line="360" w:lineRule="auto"/>
        <w:ind w:firstLine="422" w:firstLineChars="200"/>
        <w:rPr>
          <w:rFonts w:hint="eastAsia" w:ascii="仿宋" w:hAnsi="仿宋" w:eastAsia="仿宋" w:cs="仿宋"/>
          <w:szCs w:val="21"/>
        </w:rPr>
      </w:pPr>
      <w:r>
        <w:rPr>
          <w:rFonts w:hint="eastAsia" w:ascii="仿宋" w:hAnsi="仿宋" w:eastAsia="仿宋" w:cs="仿宋"/>
          <w:b/>
          <w:szCs w:val="21"/>
        </w:rPr>
        <w:t>尊敬的客户：为了维护您的权益，请在签署本协议前，仔细阅读本协议各条款（特别是含有黑体文字的条款），充分了解华夏理财有限责任公司理财业务运作规则。如您有疑问或不明之处，请向代销机构或华夏理财有限责任公司咨询，或者咨询您的律师和有关专业人士。如需业务咨询和投诉，请拨打□华夏理财客户服务热线（4001795577）、□或</w:t>
      </w:r>
      <w:r>
        <w:rPr>
          <w:rFonts w:hint="eastAsia" w:ascii="微软简仿宋" w:hAnsi="宋体" w:eastAsia="微软简仿宋"/>
          <w:b/>
          <w:szCs w:val="21"/>
          <w:u w:val="single"/>
        </w:rPr>
        <w:t>厦门银行股份有限公司</w:t>
      </w:r>
      <w:r>
        <w:rPr>
          <w:rFonts w:hint="eastAsia" w:ascii="仿宋" w:hAnsi="仿宋" w:eastAsia="仿宋" w:cs="仿宋"/>
          <w:color w:val="000000"/>
          <w:sz w:val="21"/>
          <w:szCs w:val="21"/>
          <w:u w:val="single"/>
        </w:rPr>
        <w:t xml:space="preserve">  </w:t>
      </w:r>
      <w:r>
        <w:rPr>
          <w:rFonts w:hint="eastAsia" w:ascii="仿宋" w:hAnsi="仿宋" w:eastAsia="仿宋" w:cs="仿宋"/>
          <w:color w:val="000000"/>
          <w:szCs w:val="21"/>
          <w:u w:val="single"/>
        </w:rPr>
        <w:t xml:space="preserve"> </w:t>
      </w:r>
      <w:r>
        <w:rPr>
          <w:rFonts w:hint="eastAsia" w:ascii="仿宋" w:hAnsi="仿宋" w:eastAsia="仿宋" w:cs="仿宋"/>
          <w:b/>
          <w:szCs w:val="21"/>
        </w:rPr>
        <w:t>代销机构客户服务热线。</w:t>
      </w:r>
    </w:p>
    <w:p>
      <w:pPr>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提请您在购买理财产品前特别注意以下事项：</w:t>
      </w:r>
    </w:p>
    <w:p>
      <w:pPr>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1</w:t>
      </w:r>
      <w:r>
        <w:rPr>
          <w:rFonts w:hint="eastAsia" w:ascii="仿宋" w:hAnsi="仿宋" w:eastAsia="仿宋" w:cs="仿宋"/>
          <w:b/>
          <w:bCs/>
          <w:color w:val="000000"/>
          <w:szCs w:val="21"/>
        </w:rPr>
        <w:t>.</w:t>
      </w:r>
      <w:r>
        <w:rPr>
          <w:rFonts w:hint="eastAsia" w:ascii="仿宋" w:hAnsi="仿宋" w:eastAsia="仿宋" w:cs="仿宋"/>
          <w:b/>
          <w:color w:val="000000"/>
          <w:szCs w:val="21"/>
        </w:rPr>
        <w:t>理财非存款、产品有风险、投资须谨慎。非保本浮动收益、净值型理财产品不保证本金和收益，投资者的本金可能会因市场变动而蒙受损失，投资者应充分理解产品的风险评级，充分认识投资风险，谨慎投资。</w:t>
      </w:r>
    </w:p>
    <w:p>
      <w:pPr>
        <w:spacing w:line="360" w:lineRule="auto"/>
        <w:ind w:firstLine="422" w:firstLineChars="200"/>
        <w:rPr>
          <w:rFonts w:hint="eastAsia" w:ascii="仿宋" w:hAnsi="仿宋" w:eastAsia="仿宋" w:cs="仿宋"/>
          <w:b/>
          <w:szCs w:val="21"/>
        </w:rPr>
      </w:pPr>
      <w:r>
        <w:rPr>
          <w:rFonts w:hint="eastAsia" w:ascii="仿宋" w:hAnsi="仿宋" w:eastAsia="仿宋" w:cs="仿宋"/>
          <w:b/>
          <w:color w:val="000000"/>
          <w:szCs w:val="21"/>
        </w:rPr>
        <w:t>2</w:t>
      </w:r>
      <w:r>
        <w:rPr>
          <w:rFonts w:hint="eastAsia" w:ascii="仿宋" w:hAnsi="仿宋" w:eastAsia="仿宋" w:cs="仿宋"/>
          <w:b/>
          <w:bCs/>
          <w:color w:val="000000"/>
          <w:szCs w:val="21"/>
        </w:rPr>
        <w:t>.</w:t>
      </w:r>
      <w:r>
        <w:rPr>
          <w:rFonts w:hint="eastAsia" w:ascii="仿宋" w:hAnsi="仿宋" w:eastAsia="仿宋" w:cs="仿宋"/>
          <w:b/>
          <w:color w:val="000000"/>
          <w:szCs w:val="21"/>
        </w:rPr>
        <w:t>本协议书中的任何业绩比较基准、测算收益或类似表述均</w:t>
      </w:r>
      <w:r>
        <w:rPr>
          <w:rFonts w:hint="eastAsia" w:ascii="仿宋" w:hAnsi="仿宋" w:eastAsia="仿宋" w:cs="仿宋"/>
          <w:b/>
          <w:color w:val="000000"/>
          <w:szCs w:val="21"/>
          <w:lang w:val="en-US" w:eastAsia="zh-CN"/>
        </w:rPr>
        <w:t>不是预期收益率，</w:t>
      </w:r>
      <w:r>
        <w:rPr>
          <w:rFonts w:hint="eastAsia" w:ascii="仿宋" w:hAnsi="仿宋" w:eastAsia="仿宋" w:cs="仿宋"/>
          <w:b/>
          <w:color w:val="000000"/>
          <w:szCs w:val="21"/>
        </w:rPr>
        <w:t>不代表</w:t>
      </w:r>
      <w:r>
        <w:rPr>
          <w:rFonts w:hint="eastAsia" w:ascii="仿宋" w:hAnsi="仿宋" w:eastAsia="仿宋" w:cs="仿宋"/>
          <w:b/>
          <w:color w:val="000000"/>
          <w:szCs w:val="21"/>
          <w:lang w:val="en-US" w:eastAsia="zh-CN"/>
        </w:rPr>
        <w:t>产品的未来表现和</w:t>
      </w:r>
      <w:r>
        <w:rPr>
          <w:rFonts w:hint="eastAsia" w:ascii="仿宋" w:hAnsi="仿宋" w:eastAsia="仿宋" w:cs="仿宋"/>
          <w:b/>
          <w:color w:val="000000"/>
          <w:szCs w:val="21"/>
        </w:rPr>
        <w:t>投资者可能获得的实际收益，亦不构成华夏理财有限责任公司和代销机构对本理财产品的任何收益承诺。理财产品的过往平均业绩和最好、最差业绩或类似表述均不代表</w:t>
      </w:r>
      <w:r>
        <w:rPr>
          <w:rFonts w:hint="eastAsia" w:ascii="仿宋" w:hAnsi="仿宋" w:eastAsia="仿宋" w:cs="仿宋"/>
          <w:b/>
          <w:color w:val="000000"/>
          <w:szCs w:val="21"/>
          <w:lang w:val="en-US" w:eastAsia="zh-CN"/>
        </w:rPr>
        <w:t>产品未来表现，不代表</w:t>
      </w:r>
      <w:r>
        <w:rPr>
          <w:rFonts w:hint="eastAsia" w:ascii="仿宋" w:hAnsi="仿宋" w:eastAsia="仿宋" w:cs="仿宋"/>
          <w:b/>
          <w:color w:val="000000"/>
          <w:szCs w:val="21"/>
        </w:rPr>
        <w:t>甲方最终获得的实际收益，亦不构成乙方和代销机构对理财产品本金和收益的任何承诺或保证</w:t>
      </w:r>
      <w:r>
        <w:rPr>
          <w:rFonts w:hint="eastAsia" w:ascii="仿宋" w:hAnsi="仿宋" w:eastAsia="仿宋" w:cs="仿宋"/>
          <w:b/>
          <w:color w:val="000000"/>
          <w:szCs w:val="21"/>
          <w:lang w:eastAsia="zh-CN"/>
        </w:rPr>
        <w:t>，</w:t>
      </w:r>
      <w:r>
        <w:rPr>
          <w:rFonts w:hint="eastAsia" w:ascii="仿宋" w:hAnsi="仿宋" w:eastAsia="仿宋" w:cs="仿宋"/>
          <w:b/>
          <w:color w:val="000000"/>
          <w:szCs w:val="21"/>
          <w:lang w:val="en-US" w:eastAsia="zh-CN"/>
        </w:rPr>
        <w:t>投资须谨慎</w:t>
      </w:r>
      <w:r>
        <w:rPr>
          <w:rFonts w:hint="eastAsia" w:ascii="仿宋" w:hAnsi="仿宋" w:eastAsia="仿宋" w:cs="仿宋"/>
          <w:b/>
          <w:color w:val="000000"/>
          <w:szCs w:val="21"/>
        </w:rPr>
        <w:t>。风险等级或结构相同的同类理财产品既往的业绩并不代表甲方可预期的收益。</w:t>
      </w:r>
    </w:p>
    <w:p>
      <w:pPr>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3</w:t>
      </w:r>
      <w:r>
        <w:rPr>
          <w:rFonts w:hint="eastAsia" w:ascii="仿宋" w:hAnsi="仿宋" w:eastAsia="仿宋" w:cs="仿宋"/>
          <w:b/>
          <w:bCs/>
          <w:color w:val="000000"/>
          <w:szCs w:val="21"/>
        </w:rPr>
        <w:t>.</w:t>
      </w:r>
      <w:r>
        <w:rPr>
          <w:rFonts w:hint="eastAsia" w:ascii="仿宋" w:hAnsi="仿宋" w:eastAsia="仿宋" w:cs="仿宋"/>
          <w:b/>
          <w:color w:val="000000"/>
          <w:szCs w:val="21"/>
        </w:rPr>
        <w:t>本协议与理财产品说明书、理财产品投资协议书、风险揭示书、投资者权益须知及理财产品代销机构提供的其他理财产品销售文件共同构成完整的不可分割的理财产品销售文件，具有同等法律效力。本协议与理财产品说明书不一致的，以理财产品说明书为准；本协议未及事项，以理财产品说明书、风险揭示书、理财产品投资协议书等相关文件约定为准。</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8522" w:type="dxa"/>
            <w:gridSpan w:val="2"/>
            <w:noWrap w:val="0"/>
            <w:vAlign w:val="center"/>
          </w:tcPr>
          <w:p>
            <w:pPr>
              <w:adjustRightInd w:val="0"/>
              <w:snapToGrid w:val="0"/>
              <w:spacing w:line="240" w:lineRule="auto"/>
              <w:jc w:val="center"/>
              <w:rPr>
                <w:rFonts w:hint="eastAsia" w:ascii="仿宋" w:hAnsi="仿宋" w:eastAsia="仿宋" w:cs="仿宋"/>
                <w:b/>
                <w:szCs w:val="21"/>
              </w:rPr>
            </w:pPr>
            <w:r>
              <w:rPr>
                <w:rFonts w:hint="eastAsia" w:ascii="仿宋" w:hAnsi="仿宋" w:eastAsia="仿宋" w:cs="仿宋"/>
                <w:bCs/>
                <w:szCs w:val="21"/>
              </w:rPr>
              <w:t>适用于机构投资者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1" w:hRule="atLeast"/>
          <w:jc w:val="center"/>
        </w:trPr>
        <w:tc>
          <w:tcPr>
            <w:tcW w:w="4261" w:type="dxa"/>
            <w:noWrap w:val="0"/>
            <w:vAlign w:val="top"/>
          </w:tcPr>
          <w:p>
            <w:pPr>
              <w:adjustRightInd w:val="0"/>
              <w:spacing w:line="312" w:lineRule="auto"/>
              <w:rPr>
                <w:rFonts w:hint="eastAsia" w:ascii="仿宋" w:hAnsi="仿宋" w:eastAsia="仿宋" w:cs="仿宋"/>
                <w:szCs w:val="21"/>
              </w:rPr>
            </w:pPr>
            <w:r>
              <w:rPr>
                <w:rFonts w:hint="eastAsia" w:ascii="仿宋" w:hAnsi="仿宋" w:eastAsia="仿宋" w:cs="仿宋"/>
                <w:kern w:val="0"/>
                <w:szCs w:val="21"/>
              </w:rPr>
              <w:t>甲方</w:t>
            </w:r>
            <w:r>
              <w:rPr>
                <w:rFonts w:hint="eastAsia" w:ascii="仿宋" w:hAnsi="仿宋" w:eastAsia="仿宋" w:cs="仿宋"/>
                <w:szCs w:val="21"/>
              </w:rPr>
              <w:t xml:space="preserve">： </w:t>
            </w:r>
          </w:p>
          <w:p>
            <w:pPr>
              <w:adjustRightInd w:val="0"/>
              <w:spacing w:line="312" w:lineRule="auto"/>
              <w:rPr>
                <w:rFonts w:hint="eastAsia" w:ascii="仿宋" w:hAnsi="仿宋" w:eastAsia="仿宋" w:cs="仿宋"/>
                <w:szCs w:val="21"/>
              </w:rPr>
            </w:pPr>
            <w:r>
              <w:rPr>
                <w:rFonts w:hint="eastAsia" w:ascii="仿宋" w:hAnsi="仿宋" w:eastAsia="仿宋" w:cs="仿宋"/>
                <w:szCs w:val="21"/>
              </w:rPr>
              <w:t xml:space="preserve">法定代表人： </w:t>
            </w:r>
          </w:p>
          <w:p>
            <w:pPr>
              <w:adjustRightInd w:val="0"/>
              <w:spacing w:line="312" w:lineRule="auto"/>
              <w:rPr>
                <w:rFonts w:hint="eastAsia" w:ascii="仿宋" w:hAnsi="仿宋" w:eastAsia="仿宋" w:cs="仿宋"/>
                <w:szCs w:val="21"/>
              </w:rPr>
            </w:pPr>
            <w:r>
              <w:rPr>
                <w:rFonts w:hint="eastAsia" w:ascii="仿宋" w:hAnsi="仿宋" w:eastAsia="仿宋" w:cs="仿宋"/>
                <w:spacing w:val="105"/>
                <w:kern w:val="0"/>
                <w:szCs w:val="21"/>
                <w:fitText w:val="1050" w:id="1160849450"/>
              </w:rPr>
              <w:t>联系</w:t>
            </w:r>
            <w:r>
              <w:rPr>
                <w:rFonts w:hint="eastAsia" w:ascii="仿宋" w:hAnsi="仿宋" w:eastAsia="仿宋" w:cs="仿宋"/>
                <w:spacing w:val="0"/>
                <w:kern w:val="0"/>
                <w:szCs w:val="21"/>
                <w:fitText w:val="1050" w:id="1160849450"/>
              </w:rPr>
              <w:t>人</w:t>
            </w:r>
            <w:r>
              <w:rPr>
                <w:rFonts w:hint="eastAsia" w:ascii="仿宋" w:hAnsi="仿宋" w:eastAsia="仿宋" w:cs="仿宋"/>
                <w:szCs w:val="21"/>
              </w:rPr>
              <w:t xml:space="preserve">： </w:t>
            </w:r>
          </w:p>
          <w:p>
            <w:pPr>
              <w:adjustRightInd w:val="0"/>
              <w:spacing w:line="312" w:lineRule="auto"/>
              <w:rPr>
                <w:rFonts w:hint="eastAsia" w:ascii="仿宋" w:hAnsi="仿宋" w:eastAsia="仿宋" w:cs="仿宋"/>
                <w:szCs w:val="21"/>
              </w:rPr>
            </w:pPr>
            <w:r>
              <w:rPr>
                <w:rFonts w:hint="eastAsia" w:ascii="仿宋" w:hAnsi="仿宋" w:eastAsia="仿宋" w:cs="仿宋"/>
                <w:spacing w:val="315"/>
                <w:kern w:val="0"/>
                <w:szCs w:val="21"/>
                <w:fitText w:val="1050" w:id="1160849450"/>
              </w:rPr>
              <w:t>电</w:t>
            </w:r>
            <w:r>
              <w:rPr>
                <w:rFonts w:hint="eastAsia" w:ascii="仿宋" w:hAnsi="仿宋" w:eastAsia="仿宋" w:cs="仿宋"/>
                <w:spacing w:val="0"/>
                <w:kern w:val="0"/>
                <w:szCs w:val="21"/>
                <w:fitText w:val="1050" w:id="1160849450"/>
              </w:rPr>
              <w:t>话</w:t>
            </w:r>
            <w:r>
              <w:rPr>
                <w:rFonts w:hint="eastAsia" w:ascii="仿宋" w:hAnsi="仿宋" w:eastAsia="仿宋" w:cs="仿宋"/>
                <w:szCs w:val="21"/>
              </w:rPr>
              <w:t>：</w:t>
            </w:r>
          </w:p>
          <w:p>
            <w:pPr>
              <w:adjustRightInd w:val="0"/>
              <w:spacing w:line="312" w:lineRule="auto"/>
              <w:rPr>
                <w:rFonts w:hint="eastAsia" w:ascii="仿宋" w:hAnsi="仿宋" w:eastAsia="仿宋" w:cs="仿宋"/>
                <w:szCs w:val="21"/>
              </w:rPr>
            </w:pPr>
            <w:r>
              <w:rPr>
                <w:rFonts w:hint="eastAsia" w:ascii="仿宋" w:hAnsi="仿宋" w:eastAsia="仿宋" w:cs="仿宋"/>
                <w:spacing w:val="315"/>
                <w:kern w:val="0"/>
                <w:szCs w:val="21"/>
                <w:fitText w:val="1050" w:id="1160849450"/>
              </w:rPr>
              <w:t>传</w:t>
            </w:r>
            <w:r>
              <w:rPr>
                <w:rFonts w:hint="eastAsia" w:ascii="仿宋" w:hAnsi="仿宋" w:eastAsia="仿宋" w:cs="仿宋"/>
                <w:spacing w:val="0"/>
                <w:kern w:val="0"/>
                <w:szCs w:val="21"/>
                <w:fitText w:val="1050" w:id="1160849450"/>
              </w:rPr>
              <w:t>真</w:t>
            </w:r>
            <w:r>
              <w:rPr>
                <w:rFonts w:hint="eastAsia" w:ascii="仿宋" w:hAnsi="仿宋" w:eastAsia="仿宋" w:cs="仿宋"/>
                <w:szCs w:val="21"/>
              </w:rPr>
              <w:t>：</w:t>
            </w:r>
          </w:p>
          <w:p>
            <w:pPr>
              <w:adjustRightInd w:val="0"/>
              <w:spacing w:line="312" w:lineRule="auto"/>
              <w:rPr>
                <w:rFonts w:hint="eastAsia" w:ascii="仿宋" w:hAnsi="仿宋" w:eastAsia="仿宋" w:cs="仿宋"/>
                <w:szCs w:val="21"/>
              </w:rPr>
            </w:pPr>
            <w:r>
              <w:rPr>
                <w:rFonts w:hint="eastAsia" w:ascii="仿宋" w:hAnsi="仿宋" w:eastAsia="仿宋" w:cs="仿宋"/>
                <w:spacing w:val="35"/>
                <w:kern w:val="0"/>
                <w:szCs w:val="21"/>
                <w:fitText w:val="1050" w:id="1160849450"/>
              </w:rPr>
              <w:t>通讯地</w:t>
            </w:r>
            <w:r>
              <w:rPr>
                <w:rFonts w:hint="eastAsia" w:ascii="仿宋" w:hAnsi="仿宋" w:eastAsia="仿宋" w:cs="仿宋"/>
                <w:spacing w:val="0"/>
                <w:kern w:val="0"/>
                <w:szCs w:val="21"/>
                <w:fitText w:val="1050" w:id="1160849450"/>
              </w:rPr>
              <w:t>址</w:t>
            </w:r>
            <w:r>
              <w:rPr>
                <w:rFonts w:hint="eastAsia" w:ascii="仿宋" w:hAnsi="仿宋" w:eastAsia="仿宋" w:cs="仿宋"/>
                <w:szCs w:val="21"/>
              </w:rPr>
              <w:t xml:space="preserve">：  </w:t>
            </w:r>
          </w:p>
          <w:p>
            <w:pPr>
              <w:adjustRightInd w:val="0"/>
              <w:spacing w:line="312" w:lineRule="auto"/>
              <w:rPr>
                <w:rFonts w:hint="eastAsia" w:ascii="仿宋" w:hAnsi="仿宋" w:eastAsia="仿宋" w:cs="仿宋"/>
                <w:b/>
                <w:szCs w:val="21"/>
              </w:rPr>
            </w:pPr>
            <w:r>
              <w:rPr>
                <w:rFonts w:hint="eastAsia" w:ascii="仿宋" w:hAnsi="仿宋" w:eastAsia="仿宋" w:cs="仿宋"/>
                <w:spacing w:val="315"/>
                <w:kern w:val="0"/>
                <w:szCs w:val="21"/>
                <w:fitText w:val="1050" w:id="1160849450"/>
              </w:rPr>
              <w:t>邮</w:t>
            </w:r>
            <w:r>
              <w:rPr>
                <w:rFonts w:hint="eastAsia" w:ascii="仿宋" w:hAnsi="仿宋" w:eastAsia="仿宋" w:cs="仿宋"/>
                <w:spacing w:val="0"/>
                <w:kern w:val="0"/>
                <w:szCs w:val="21"/>
                <w:fitText w:val="1050" w:id="1160849450"/>
              </w:rPr>
              <w:t>编</w:t>
            </w:r>
            <w:r>
              <w:rPr>
                <w:rFonts w:hint="eastAsia" w:ascii="仿宋" w:hAnsi="仿宋" w:eastAsia="仿宋" w:cs="仿宋"/>
                <w:szCs w:val="21"/>
              </w:rPr>
              <w:t>：</w:t>
            </w:r>
          </w:p>
        </w:tc>
        <w:tc>
          <w:tcPr>
            <w:tcW w:w="4261" w:type="dxa"/>
            <w:noWrap w:val="0"/>
            <w:vAlign w:val="top"/>
          </w:tcPr>
          <w:p>
            <w:pPr>
              <w:adjustRightInd w:val="0"/>
              <w:spacing w:line="312" w:lineRule="auto"/>
              <w:rPr>
                <w:rFonts w:hint="eastAsia" w:ascii="仿宋" w:hAnsi="仿宋" w:eastAsia="仿宋" w:cs="仿宋"/>
                <w:szCs w:val="21"/>
              </w:rPr>
            </w:pPr>
            <w:r>
              <w:rPr>
                <w:rFonts w:hint="eastAsia" w:ascii="仿宋" w:hAnsi="仿宋" w:eastAsia="仿宋" w:cs="仿宋"/>
                <w:kern w:val="0"/>
                <w:szCs w:val="21"/>
              </w:rPr>
              <w:t>乙方</w:t>
            </w:r>
            <w:r>
              <w:rPr>
                <w:rFonts w:hint="eastAsia" w:ascii="仿宋" w:hAnsi="仿宋" w:eastAsia="仿宋" w:cs="仿宋"/>
                <w:szCs w:val="21"/>
              </w:rPr>
              <w:t>： 华夏银行理财有限责任公司</w:t>
            </w:r>
          </w:p>
          <w:p>
            <w:pPr>
              <w:adjustRightInd w:val="0"/>
              <w:spacing w:line="312" w:lineRule="auto"/>
              <w:rPr>
                <w:rFonts w:hint="eastAsia" w:ascii="仿宋" w:hAnsi="仿宋" w:eastAsia="仿宋" w:cs="仿宋"/>
                <w:szCs w:val="21"/>
              </w:rPr>
            </w:pPr>
            <w:r>
              <w:rPr>
                <w:rFonts w:hint="eastAsia" w:ascii="仿宋" w:hAnsi="仿宋" w:eastAsia="仿宋" w:cs="仿宋"/>
                <w:szCs w:val="21"/>
              </w:rPr>
              <w:t>法定代表人：</w:t>
            </w:r>
          </w:p>
          <w:p>
            <w:pPr>
              <w:adjustRightInd w:val="0"/>
              <w:spacing w:line="312" w:lineRule="auto"/>
              <w:rPr>
                <w:rFonts w:hint="eastAsia" w:ascii="仿宋" w:hAnsi="仿宋" w:eastAsia="仿宋" w:cs="仿宋"/>
                <w:szCs w:val="21"/>
              </w:rPr>
            </w:pPr>
            <w:r>
              <w:rPr>
                <w:rFonts w:hint="eastAsia" w:ascii="仿宋" w:hAnsi="仿宋" w:eastAsia="仿宋" w:cs="仿宋"/>
                <w:spacing w:val="315"/>
                <w:kern w:val="0"/>
                <w:szCs w:val="21"/>
                <w:fitText w:val="1050" w:id="1160849450"/>
              </w:rPr>
              <w:t>地</w:t>
            </w:r>
            <w:r>
              <w:rPr>
                <w:rFonts w:hint="eastAsia" w:ascii="仿宋" w:hAnsi="仿宋" w:eastAsia="仿宋" w:cs="仿宋"/>
                <w:spacing w:val="0"/>
                <w:kern w:val="0"/>
                <w:szCs w:val="21"/>
                <w:fitText w:val="1050" w:id="1160849450"/>
              </w:rPr>
              <w:t>址</w:t>
            </w:r>
            <w:r>
              <w:rPr>
                <w:rFonts w:hint="eastAsia" w:ascii="仿宋" w:hAnsi="仿宋" w:eastAsia="仿宋" w:cs="仿宋"/>
                <w:szCs w:val="21"/>
              </w:rPr>
              <w:t>：</w:t>
            </w:r>
          </w:p>
          <w:p>
            <w:pPr>
              <w:adjustRightInd w:val="0"/>
              <w:spacing w:line="312" w:lineRule="auto"/>
              <w:jc w:val="left"/>
              <w:rPr>
                <w:rFonts w:hint="eastAsia" w:ascii="仿宋" w:hAnsi="仿宋" w:eastAsia="仿宋" w:cs="仿宋"/>
                <w:szCs w:val="21"/>
              </w:rPr>
            </w:pPr>
            <w:r>
              <w:rPr>
                <w:rFonts w:hint="eastAsia" w:ascii="仿宋" w:hAnsi="仿宋" w:eastAsia="仿宋" w:cs="仿宋"/>
                <w:spacing w:val="315"/>
                <w:kern w:val="0"/>
                <w:szCs w:val="21"/>
                <w:fitText w:val="1050" w:id="1160849450"/>
              </w:rPr>
              <w:t>邮</w:t>
            </w:r>
            <w:r>
              <w:rPr>
                <w:rFonts w:hint="eastAsia" w:ascii="仿宋" w:hAnsi="仿宋" w:eastAsia="仿宋" w:cs="仿宋"/>
                <w:spacing w:val="0"/>
                <w:kern w:val="0"/>
                <w:szCs w:val="21"/>
                <w:fitText w:val="1050" w:id="1160849450"/>
              </w:rPr>
              <w:t>编</w:t>
            </w:r>
            <w:r>
              <w:rPr>
                <w:rFonts w:hint="eastAsia" w:ascii="仿宋" w:hAnsi="仿宋" w:eastAsia="仿宋" w:cs="仿宋"/>
                <w:szCs w:val="21"/>
              </w:rPr>
              <w:t>：</w:t>
            </w:r>
          </w:p>
          <w:p>
            <w:pPr>
              <w:adjustRightInd w:val="0"/>
              <w:spacing w:line="312" w:lineRule="auto"/>
              <w:rPr>
                <w:rFonts w:hint="eastAsia" w:ascii="仿宋" w:hAnsi="仿宋" w:eastAsia="仿宋" w:cs="仿宋"/>
                <w:b/>
                <w:szCs w:val="21"/>
              </w:rPr>
            </w:pPr>
          </w:p>
        </w:tc>
      </w:tr>
    </w:tbl>
    <w:p>
      <w:pPr>
        <w:adjustRightInd w:val="0"/>
        <w:snapToGrid w:val="0"/>
        <w:ind w:firstLine="420" w:firstLineChars="200"/>
        <w:jc w:val="both"/>
        <w:rPr>
          <w:rFonts w:hint="eastAsia" w:ascii="仿宋" w:hAnsi="仿宋" w:eastAsia="仿宋" w:cs="仿宋"/>
          <w:sz w:val="21"/>
          <w:szCs w:val="21"/>
        </w:rPr>
      </w:pPr>
      <w:r>
        <w:rPr>
          <w:rFonts w:hint="eastAsia" w:ascii="仿宋" w:hAnsi="仿宋" w:eastAsia="仿宋" w:cs="仿宋"/>
          <w:sz w:val="21"/>
          <w:szCs w:val="21"/>
        </w:rPr>
        <w:t>本协议项下代销机构：</w:t>
      </w:r>
      <w:r>
        <w:rPr>
          <w:rFonts w:hint="eastAsia" w:ascii="微软简仿宋" w:hAnsi="宋体" w:eastAsia="微软简仿宋"/>
          <w:b/>
          <w:szCs w:val="21"/>
          <w:u w:val="single"/>
        </w:rPr>
        <w:t>厦门银行股份有限公司</w:t>
      </w:r>
    </w:p>
    <w:p>
      <w:pPr>
        <w:adjustRightInd w:val="0"/>
        <w:snapToGrid w:val="0"/>
        <w:ind w:firstLine="420" w:firstLineChars="200"/>
        <w:jc w:val="both"/>
        <w:rPr>
          <w:rFonts w:hint="eastAsia" w:ascii="仿宋" w:hAnsi="仿宋" w:eastAsia="仿宋" w:cs="仿宋"/>
          <w:sz w:val="21"/>
          <w:szCs w:val="21"/>
        </w:rPr>
      </w:pPr>
      <w:r>
        <w:rPr>
          <w:rFonts w:hint="eastAsia" w:ascii="仿宋" w:hAnsi="仿宋" w:eastAsia="仿宋" w:cs="仿宋"/>
          <w:sz w:val="21"/>
          <w:szCs w:val="21"/>
        </w:rPr>
        <w:t>法定代表人：</w:t>
      </w:r>
      <w:r>
        <w:rPr>
          <w:rFonts w:hint="eastAsia" w:ascii="微软简仿宋" w:hAnsi="宋体" w:eastAsia="微软简仿宋"/>
          <w:b/>
          <w:szCs w:val="21"/>
          <w:u w:val="single"/>
        </w:rPr>
        <w:t>姚志平</w:t>
      </w:r>
    </w:p>
    <w:p>
      <w:pPr>
        <w:adjustRightInd w:val="0"/>
        <w:snapToGrid w:val="0"/>
        <w:ind w:firstLine="420" w:firstLineChars="200"/>
        <w:jc w:val="both"/>
        <w:rPr>
          <w:rFonts w:hint="eastAsia" w:ascii="仿宋" w:hAnsi="仿宋" w:eastAsia="仿宋" w:cs="仿宋"/>
          <w:sz w:val="21"/>
          <w:szCs w:val="21"/>
        </w:rPr>
      </w:pPr>
      <w:r>
        <w:rPr>
          <w:rFonts w:hint="eastAsia" w:ascii="仿宋" w:hAnsi="仿宋" w:eastAsia="仿宋" w:cs="仿宋"/>
          <w:sz w:val="21"/>
          <w:szCs w:val="21"/>
        </w:rPr>
        <w:t>地址：</w:t>
      </w:r>
      <w:r>
        <w:rPr>
          <w:rFonts w:hint="eastAsia" w:ascii="微软简仿宋" w:hAnsi="宋体" w:eastAsia="微软简仿宋"/>
          <w:b/>
          <w:szCs w:val="21"/>
          <w:u w:val="single"/>
        </w:rPr>
        <w:t>厦门市思明区湖滨北路101号商业银行大厦</w:t>
      </w:r>
    </w:p>
    <w:p>
      <w:pPr>
        <w:adjustRightInd w:val="0"/>
        <w:snapToGrid w:val="0"/>
        <w:ind w:firstLine="420" w:firstLineChars="200"/>
        <w:jc w:val="both"/>
        <w:rPr>
          <w:rFonts w:hint="eastAsia" w:ascii="仿宋" w:hAnsi="仿宋" w:eastAsia="仿宋" w:cs="仿宋"/>
          <w:sz w:val="21"/>
          <w:szCs w:val="21"/>
        </w:rPr>
      </w:pPr>
      <w:r>
        <w:rPr>
          <w:rFonts w:hint="eastAsia" w:ascii="仿宋" w:hAnsi="仿宋" w:eastAsia="仿宋" w:cs="仿宋"/>
          <w:sz w:val="21"/>
          <w:szCs w:val="21"/>
        </w:rPr>
        <w:t>邮编：</w:t>
      </w:r>
      <w:r>
        <w:rPr>
          <w:rFonts w:hint="eastAsia" w:ascii="微软简仿宋" w:hAnsi="宋体" w:eastAsia="微软简仿宋"/>
          <w:b/>
          <w:szCs w:val="21"/>
          <w:u w:val="single"/>
        </w:rPr>
        <w:t>361001</w:t>
      </w:r>
    </w:p>
    <w:p>
      <w:pPr>
        <w:adjustRightInd w:val="0"/>
        <w:snapToGrid w:val="0"/>
        <w:ind w:firstLine="420" w:firstLineChars="200"/>
        <w:jc w:val="both"/>
        <w:rPr>
          <w:rFonts w:hint="eastAsia" w:ascii="仿宋" w:hAnsi="仿宋" w:eastAsia="仿宋" w:cs="仿宋"/>
          <w:sz w:val="21"/>
          <w:szCs w:val="21"/>
        </w:rPr>
      </w:pPr>
      <w:r>
        <w:rPr>
          <w:rFonts w:hint="eastAsia" w:ascii="仿宋" w:hAnsi="仿宋" w:eastAsia="仿宋" w:cs="仿宋"/>
          <w:sz w:val="21"/>
          <w:szCs w:val="21"/>
        </w:rPr>
        <w:t>公司网址：</w:t>
      </w:r>
      <w:r>
        <w:rPr>
          <w:rFonts w:hint="eastAsia" w:ascii="微软简仿宋" w:hAnsi="宋体" w:eastAsia="微软简仿宋"/>
          <w:b/>
          <w:szCs w:val="21"/>
          <w:u w:val="single"/>
        </w:rPr>
        <w:t>www.xmbankonline.com</w:t>
      </w:r>
    </w:p>
    <w:p>
      <w:pPr>
        <w:adjustRightInd w:val="0"/>
        <w:snapToGrid w:val="0"/>
        <w:ind w:firstLine="420" w:firstLineChars="200"/>
        <w:jc w:val="both"/>
        <w:rPr>
          <w:rFonts w:hint="eastAsia" w:ascii="仿宋" w:hAnsi="仿宋" w:eastAsia="仿宋" w:cs="仿宋"/>
          <w:sz w:val="21"/>
          <w:szCs w:val="21"/>
        </w:rPr>
      </w:pPr>
      <w:r>
        <w:rPr>
          <w:rFonts w:hint="eastAsia" w:ascii="仿宋" w:hAnsi="仿宋" w:eastAsia="仿宋" w:cs="仿宋"/>
          <w:sz w:val="21"/>
          <w:szCs w:val="21"/>
        </w:rPr>
        <w:t>客服/联系电话：</w:t>
      </w:r>
      <w:r>
        <w:rPr>
          <w:rFonts w:hint="eastAsia" w:ascii="微软简仿宋" w:hAnsi="宋体" w:eastAsia="微软简仿宋"/>
          <w:b/>
          <w:szCs w:val="21"/>
          <w:u w:val="single"/>
        </w:rPr>
        <w:t>400-858-8888</w:t>
      </w:r>
    </w:p>
    <w:p>
      <w:pPr>
        <w:adjustRightInd w:val="0"/>
        <w:snapToGrid w:val="0"/>
        <w:spacing w:line="360" w:lineRule="auto"/>
        <w:ind w:firstLine="420" w:firstLineChars="200"/>
        <w:rPr>
          <w:rFonts w:hint="eastAsia" w:ascii="仿宋" w:hAnsi="仿宋" w:eastAsia="仿宋" w:cs="仿宋"/>
          <w:szCs w:val="21"/>
        </w:rPr>
      </w:pPr>
      <w:bookmarkStart w:id="0" w:name="_GoBack"/>
      <w:bookmarkEnd w:id="0"/>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甲方（即购买理财产品的投资者）本着自主决策、自愿委托、风险自担的原则，购买乙方（华夏理财有限责任公司）发行的理财产品，为明确双方的权利义务，双方经平等协商签订本协议书。</w:t>
      </w:r>
      <w:r>
        <w:rPr>
          <w:rFonts w:hint="eastAsia" w:ascii="仿宋" w:hAnsi="仿宋" w:eastAsia="仿宋" w:cs="仿宋"/>
          <w:b/>
          <w:bCs/>
          <w:color w:val="000000"/>
          <w:szCs w:val="21"/>
        </w:rPr>
        <w:t>本协议书适用于乙方委托理财产品代理销售机构（以下简称“代销机构”）代销的净值型理财产品。</w:t>
      </w:r>
      <w:r>
        <w:rPr>
          <w:rFonts w:hint="eastAsia" w:ascii="仿宋" w:hAnsi="仿宋" w:eastAsia="仿宋" w:cs="仿宋"/>
          <w:color w:val="000000"/>
          <w:szCs w:val="21"/>
        </w:rPr>
        <w:t>本协议中提到的申购、预约申购、赎回、预约赎回仅适用于开放式净值型理财产品，具体产品性质以理财产品说明书为准。</w:t>
      </w:r>
    </w:p>
    <w:p>
      <w:pPr>
        <w:adjustRightInd w:val="0"/>
        <w:snapToGrid w:val="0"/>
        <w:spacing w:line="360" w:lineRule="auto"/>
        <w:ind w:firstLine="422" w:firstLineChars="200"/>
        <w:rPr>
          <w:rFonts w:hint="eastAsia" w:ascii="仿宋" w:hAnsi="仿宋" w:eastAsia="仿宋" w:cs="仿宋"/>
          <w:b/>
          <w:bCs/>
          <w:color w:val="000000"/>
          <w:szCs w:val="21"/>
        </w:rPr>
      </w:pPr>
    </w:p>
    <w:p>
      <w:pPr>
        <w:keepNext/>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甲方声明：</w:t>
      </w:r>
    </w:p>
    <w:p>
      <w:pPr>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color w:val="000000"/>
          <w:szCs w:val="21"/>
        </w:rPr>
        <w:t>1.</w:t>
      </w:r>
      <w:r>
        <w:rPr>
          <w:rFonts w:hint="eastAsia" w:ascii="仿宋" w:hAnsi="仿宋" w:eastAsia="仿宋" w:cs="仿宋"/>
          <w:b/>
          <w:bCs/>
          <w:color w:val="000000"/>
          <w:szCs w:val="21"/>
        </w:rPr>
        <w:t>甲方声明以本人/本机构合法持有的自有资金或合法募集资金购买乙方发行的理财产品，不存在使用贷款、发行债券等募集的非自有资金投资理财产品的情形（合法募集资金除外）。甲方承诺投资理财产品使用的资金来源合法合规，并且系为合法之目的投资本理财产品，而非为洗钱等违法犯罪之目的，甲方将配合乙方、代销机构开展投资者身份识别及尽职调查等反洗钱活动，及时、真实、准确、完整提供本人/本机构身份及资金来源等信息。</w:t>
      </w:r>
    </w:p>
    <w:p>
      <w:pPr>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color w:val="000000"/>
          <w:szCs w:val="21"/>
        </w:rPr>
        <w:t>2.</w:t>
      </w:r>
      <w:r>
        <w:rPr>
          <w:rFonts w:hint="eastAsia" w:ascii="仿宋" w:hAnsi="仿宋" w:eastAsia="仿宋" w:cs="仿宋"/>
          <w:b/>
          <w:bCs/>
          <w:color w:val="000000"/>
          <w:szCs w:val="21"/>
        </w:rPr>
        <w:t>甲方声明所提供的所有资料真实、完整、合法、有效</w:t>
      </w:r>
      <w:r>
        <w:rPr>
          <w:rFonts w:hint="eastAsia" w:ascii="仿宋" w:hAnsi="仿宋" w:eastAsia="仿宋" w:cs="仿宋"/>
          <w:b/>
          <w:bCs/>
          <w:color w:val="000000"/>
          <w:szCs w:val="21"/>
          <w:lang w:eastAsia="zh-CN"/>
        </w:rPr>
        <w:t>。</w:t>
      </w:r>
      <w:r>
        <w:rPr>
          <w:rFonts w:hint="eastAsia" w:ascii="仿宋" w:hAnsi="仿宋" w:eastAsia="仿宋" w:cs="仿宋"/>
          <w:b/>
          <w:bCs/>
          <w:color w:val="000000"/>
          <w:szCs w:val="21"/>
        </w:rPr>
        <w:t>如有变更，甲方应及时联系代销机构</w:t>
      </w:r>
      <w:r>
        <w:rPr>
          <w:rFonts w:hint="eastAsia" w:ascii="仿宋" w:hAnsi="仿宋" w:eastAsia="仿宋" w:cs="仿宋"/>
          <w:b/>
          <w:bCs/>
          <w:color w:val="000000"/>
          <w:sz w:val="21"/>
          <w:szCs w:val="21"/>
          <w:lang w:eastAsia="zh-CN"/>
        </w:rPr>
        <w:t>，</w:t>
      </w:r>
      <w:r>
        <w:rPr>
          <w:rFonts w:hint="eastAsia" w:ascii="仿宋" w:hAnsi="仿宋" w:eastAsia="仿宋" w:cs="仿宋"/>
          <w:b/>
          <w:bCs/>
          <w:color w:val="000000"/>
          <w:sz w:val="21"/>
          <w:szCs w:val="21"/>
          <w:lang w:val="en-US" w:eastAsia="zh-CN"/>
        </w:rPr>
        <w:t>在15个工作日内</w:t>
      </w:r>
      <w:r>
        <w:rPr>
          <w:rFonts w:hint="eastAsia" w:ascii="仿宋" w:hAnsi="仿宋" w:eastAsia="仿宋" w:cs="仿宋"/>
          <w:b/>
          <w:bCs/>
          <w:color w:val="000000"/>
          <w:szCs w:val="21"/>
        </w:rPr>
        <w:t>办理变更手续</w:t>
      </w:r>
      <w:r>
        <w:rPr>
          <w:rFonts w:hint="eastAsia" w:ascii="仿宋" w:hAnsi="仿宋" w:eastAsia="仿宋" w:cs="仿宋"/>
          <w:b/>
          <w:bCs/>
          <w:color w:val="000000"/>
          <w:sz w:val="21"/>
          <w:szCs w:val="21"/>
          <w:lang w:eastAsia="zh-CN"/>
        </w:rPr>
        <w:t>（</w:t>
      </w:r>
      <w:r>
        <w:rPr>
          <w:rFonts w:hint="eastAsia" w:ascii="仿宋" w:hAnsi="仿宋" w:eastAsia="仿宋" w:cs="仿宋"/>
          <w:b/>
          <w:bCs/>
          <w:color w:val="000000"/>
          <w:sz w:val="21"/>
          <w:szCs w:val="21"/>
        </w:rPr>
        <w:t>代销机构另有约定的，以代销机构约定为准</w:t>
      </w:r>
      <w:r>
        <w:rPr>
          <w:rFonts w:hint="eastAsia" w:ascii="仿宋" w:hAnsi="仿宋" w:eastAsia="仿宋" w:cs="仿宋"/>
          <w:b/>
          <w:bCs/>
          <w:color w:val="000000"/>
          <w:sz w:val="21"/>
          <w:szCs w:val="21"/>
          <w:lang w:eastAsia="zh-CN"/>
        </w:rPr>
        <w:t>）</w:t>
      </w:r>
      <w:r>
        <w:rPr>
          <w:rFonts w:hint="eastAsia" w:ascii="仿宋" w:hAnsi="仿宋" w:eastAsia="仿宋" w:cs="仿宋"/>
          <w:b/>
          <w:bCs/>
          <w:color w:val="000000"/>
          <w:szCs w:val="21"/>
        </w:rPr>
        <w:t>。若甲方未及时办理相关变更手续，由此导致的一切后果由甲方承担，乙方对此不承担任何责任。</w:t>
      </w:r>
    </w:p>
    <w:p>
      <w:pPr>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color w:val="000000"/>
          <w:szCs w:val="21"/>
        </w:rPr>
        <w:t>3.</w:t>
      </w:r>
      <w:r>
        <w:rPr>
          <w:rFonts w:hint="eastAsia" w:ascii="仿宋" w:hAnsi="仿宋" w:eastAsia="仿宋" w:cs="仿宋"/>
          <w:b/>
          <w:bCs/>
          <w:color w:val="000000"/>
          <w:szCs w:val="21"/>
        </w:rPr>
        <w:t>甲方声明已阅知投资者权益须知，接受并签署本协议书、产品说明书、风险揭示书、投资协议书。甲方的投资决策完全是甲方独立、自主、谨慎做出的。甲方已充分了解本协议书相关内容，特别是甲方认购/预约认购/申购/预约申购/赎回/预约赎回条款、免责条款等的内容和含义。甲方已完全知晓并充分理解甲乙双方的权利、义务、责任和投资理财产品的风险，甲方自愿接受本协议书内容，自愿并能承担相关风险。</w:t>
      </w:r>
    </w:p>
    <w:p>
      <w:pPr>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4.甲方声明当甲方通过代销机构的网上银行、手机银行、APP等电子销售渠道购买理财产品时，甲方认可其在代销机构电子渠道点击确认同意的理财产品销售文件的合法有效性，认可电子签约与纸质签署具有同等效力。</w:t>
      </w:r>
    </w:p>
    <w:p>
      <w:pPr>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5.甲方声明同意代销机构记录（记录方式包括但不限于录音、录像、录屏等）甲方操作行为（包括但不限于购买、赎回、撤单、修改分红方式等业务），并确认以上记录在双方发生争议时可作为合法有效的证据使用。</w:t>
      </w:r>
    </w:p>
    <w:p>
      <w:pPr>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6.甲方（如为机构投资者）声明已按公司章程等有关规定和程序取得办理理财业务所需的充分授权，并保证该等授权合法并持续有效。</w:t>
      </w:r>
    </w:p>
    <w:p>
      <w:pPr>
        <w:adjustRightInd w:val="0"/>
        <w:snapToGrid w:val="0"/>
        <w:spacing w:line="360" w:lineRule="auto"/>
        <w:ind w:firstLine="422" w:firstLineChars="200"/>
        <w:rPr>
          <w:rFonts w:hint="eastAsia" w:ascii="仿宋" w:hAnsi="仿宋" w:eastAsia="仿宋" w:cs="仿宋"/>
          <w:b/>
          <w:bCs/>
          <w:color w:val="000000"/>
          <w:szCs w:val="21"/>
        </w:rPr>
      </w:pPr>
    </w:p>
    <w:p>
      <w:pPr>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一、名词释义</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理财产品：指由乙方按照理财产品销售文件约定的条件和实际投资收益情况向投资者支付收益、不保证本金支付和收益水平的非保本理财产品。产品的具体细节详见理财产品说明书、风险揭示书、投资者权益须知。</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2.公募理财产品：根据募集方式不同，将理财产品分为公募理财产品和私募理财产品。公募理财产品指面向不特定社会公众公开发行的理财产品。</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3.私募理财产品：根据募集方式不同，将理财产品分为公募理财产品和私募理财产品。私募理财产品指面向合格投资者非公开发行的理财产品。</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4.合格投资者：指具备相应风险识别能力和风险承受能力，投资于单只理财产品不低于一定金额且符合下列条件的自然人、法人或者依法成立的其他组织：</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（1）具有2年以上投资经历，且满足家庭金融净资产不低于300万元人民币，或者家庭金融资产不低于500万元人民币，或者近3年本人年均收入不低于40万元人民币；</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（2）最近1年末净资产不低于1000万元人民币的法人或者依法成立的其他组织；</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（3）国务院银行业监督管理机构规定的其他情形。</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5.专业投资者：符合下列条件之一的</w:t>
      </w:r>
      <w:r>
        <w:rPr>
          <w:rFonts w:ascii="仿宋" w:hAnsi="仿宋" w:eastAsia="仿宋" w:cs="仿宋"/>
          <w:color w:val="000000"/>
          <w:szCs w:val="21"/>
        </w:rPr>
        <w:t>投资者</w:t>
      </w:r>
      <w:r>
        <w:rPr>
          <w:rFonts w:hint="eastAsia" w:ascii="仿宋" w:hAnsi="仿宋" w:eastAsia="仿宋" w:cs="仿宋"/>
          <w:color w:val="000000"/>
          <w:szCs w:val="21"/>
        </w:rPr>
        <w:t>是专业投资者，</w:t>
      </w:r>
      <w:r>
        <w:rPr>
          <w:rFonts w:ascii="仿宋" w:hAnsi="仿宋" w:eastAsia="仿宋" w:cs="仿宋"/>
          <w:color w:val="000000"/>
          <w:szCs w:val="21"/>
        </w:rPr>
        <w:t>专业投资者之外的投资者为普通投资者。</w:t>
      </w:r>
    </w:p>
    <w:p>
      <w:pPr>
        <w:adjustRightInd w:val="0"/>
        <w:snapToGrid w:val="0"/>
        <w:spacing w:line="360" w:lineRule="auto"/>
        <w:ind w:firstLine="420" w:firstLineChars="200"/>
        <w:rPr>
          <w:rFonts w:ascii="仿宋" w:hAnsi="仿宋" w:eastAsia="仿宋" w:cs="仿宋"/>
          <w:color w:val="000000"/>
          <w:szCs w:val="21"/>
        </w:rPr>
      </w:pPr>
      <w:r>
        <w:rPr>
          <w:rFonts w:ascii="仿宋" w:hAnsi="仿宋" w:eastAsia="仿宋" w:cs="仿宋"/>
          <w:color w:val="000000"/>
          <w:szCs w:val="21"/>
        </w:rPr>
        <w:t>（</w:t>
      </w:r>
      <w:r>
        <w:rPr>
          <w:rFonts w:hint="eastAsia" w:ascii="仿宋" w:hAnsi="仿宋" w:eastAsia="仿宋" w:cs="仿宋"/>
          <w:color w:val="000000"/>
          <w:szCs w:val="21"/>
        </w:rPr>
        <w:t>1</w:t>
      </w:r>
      <w:r>
        <w:rPr>
          <w:rFonts w:ascii="仿宋" w:hAnsi="仿宋" w:eastAsia="仿宋" w:cs="仿宋"/>
          <w:color w:val="000000"/>
          <w:szCs w:val="21"/>
        </w:rPr>
        <w:t>）银行业金融机构、保险业金融机构、金融控股公司、证券基金期货经营机构、私募基金管理人；</w:t>
      </w:r>
    </w:p>
    <w:p>
      <w:pPr>
        <w:adjustRightInd w:val="0"/>
        <w:snapToGrid w:val="0"/>
        <w:spacing w:line="360" w:lineRule="auto"/>
        <w:ind w:firstLine="420" w:firstLineChars="200"/>
        <w:rPr>
          <w:rFonts w:ascii="仿宋" w:hAnsi="仿宋" w:eastAsia="仿宋" w:cs="仿宋"/>
          <w:color w:val="000000"/>
          <w:szCs w:val="21"/>
        </w:rPr>
      </w:pPr>
      <w:r>
        <w:rPr>
          <w:rFonts w:ascii="仿宋" w:hAnsi="仿宋" w:eastAsia="仿宋" w:cs="仿宋"/>
          <w:color w:val="000000"/>
          <w:szCs w:val="21"/>
        </w:rPr>
        <w:t>（</w:t>
      </w:r>
      <w:r>
        <w:rPr>
          <w:rFonts w:hint="eastAsia" w:ascii="仿宋" w:hAnsi="仿宋" w:eastAsia="仿宋" w:cs="仿宋"/>
          <w:color w:val="000000"/>
          <w:szCs w:val="21"/>
        </w:rPr>
        <w:t>2</w:t>
      </w:r>
      <w:r>
        <w:rPr>
          <w:rFonts w:ascii="仿宋" w:hAnsi="仿宋" w:eastAsia="仿宋" w:cs="仿宋"/>
          <w:color w:val="000000"/>
          <w:szCs w:val="21"/>
        </w:rPr>
        <w:t>）上述机构面向投资者发行的金融产品，信托公司管理的资产服务信托、公益慈善信托；</w:t>
      </w:r>
    </w:p>
    <w:p>
      <w:pPr>
        <w:adjustRightInd w:val="0"/>
        <w:snapToGrid w:val="0"/>
        <w:spacing w:line="360" w:lineRule="auto"/>
        <w:ind w:firstLine="420" w:firstLineChars="200"/>
        <w:rPr>
          <w:rFonts w:ascii="仿宋" w:hAnsi="仿宋" w:eastAsia="仿宋" w:cs="仿宋"/>
          <w:color w:val="000000"/>
          <w:szCs w:val="21"/>
        </w:rPr>
      </w:pPr>
      <w:r>
        <w:rPr>
          <w:rFonts w:ascii="仿宋" w:hAnsi="仿宋" w:eastAsia="仿宋" w:cs="仿宋"/>
          <w:color w:val="000000"/>
          <w:szCs w:val="21"/>
        </w:rPr>
        <w:t>（</w:t>
      </w:r>
      <w:r>
        <w:rPr>
          <w:rFonts w:hint="eastAsia" w:ascii="仿宋" w:hAnsi="仿宋" w:eastAsia="仿宋" w:cs="仿宋"/>
          <w:color w:val="000000"/>
          <w:szCs w:val="21"/>
        </w:rPr>
        <w:t>3</w:t>
      </w:r>
      <w:r>
        <w:rPr>
          <w:rFonts w:ascii="仿宋" w:hAnsi="仿宋" w:eastAsia="仿宋" w:cs="仿宋"/>
          <w:color w:val="000000"/>
          <w:szCs w:val="21"/>
        </w:rPr>
        <w:t>）社会保障基金、企业年金、职业年金等养老基金，慈善基金等社会公益基金，合格境外机构投资者（QFII）、人民币合格境外机构投资者（RQFII）。</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代销机构：指接受乙方委托销售其发行理财产品的代理销售机构，包括其他理财公司，商业银行、农村合作银行、村镇银行、农村信用合作社等吸收公众存款的银行业金融机构，以及银保监会规定的其他机构。代销机构信息将通过乙方、代销机构的官方渠道予以公告 。</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7.理财产品宣传推介材料：指理财产品代销机构为宣传推介理财产品向投资者分发或者发布，使投资者可以获得的文字、图片、音频、视频以及其他形式的信息。</w:t>
      </w:r>
    </w:p>
    <w:p>
      <w:pPr>
        <w:widowControl/>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8.理财产品销售文件：包括销售（代理销售）协议书（即本协议）、理财产品投资协议书、理财产品说明书、风险揭示书、投资者权益须知以及后续对上述文件的有效修订及补充；代销机构提供的经投资者确认的交易</w:t>
      </w:r>
      <w:r>
        <w:rPr>
          <w:rFonts w:hint="eastAsia" w:ascii="仿宋" w:hAnsi="仿宋" w:eastAsia="仿宋" w:cs="仿宋"/>
          <w:color w:val="000000"/>
          <w:szCs w:val="21"/>
          <w:lang w:bidi="ar"/>
        </w:rPr>
        <w:t>申请单（如有）及回单（如有）为理财产品销售文件的有效构成</w:t>
      </w:r>
      <w:r>
        <w:rPr>
          <w:rFonts w:hint="eastAsia" w:ascii="仿宋" w:hAnsi="仿宋" w:eastAsia="仿宋" w:cs="仿宋"/>
          <w:color w:val="000000"/>
          <w:szCs w:val="21"/>
        </w:rPr>
        <w:t>。</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9.本协议：指《华夏理财有限责任公司理财产品销售协议书》以及其后续有效的修订与补充。</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10.理财产品说明书或产品说明书：指乙方公布的、旨在说明理财产品具体要素的产品说明及其更新。</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bCs/>
          <w:color w:val="000000"/>
          <w:szCs w:val="21"/>
        </w:rPr>
        <w:t>11</w:t>
      </w:r>
      <w:r>
        <w:rPr>
          <w:rFonts w:hint="eastAsia" w:ascii="仿宋" w:hAnsi="仿宋" w:eastAsia="仿宋" w:cs="仿宋"/>
          <w:color w:val="000000"/>
          <w:szCs w:val="21"/>
        </w:rPr>
        <w:t>.约定信息披露途径：指理财产品说明书、销售协议书、代理销售协议书（如有）、投资者权益须知中约定的理财产品信息披露渠道。</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12.法律法规、监管规定：包括现行有效的法律、行政法规、部门规章和相关监管部门颁布的具有约束效力的规范性文件。</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13.</w:t>
      </w:r>
      <w:r>
        <w:rPr>
          <w:rFonts w:hint="eastAsia" w:ascii="仿宋" w:hAnsi="仿宋" w:eastAsia="仿宋" w:cs="仿宋"/>
          <w:bCs/>
          <w:color w:val="000000"/>
          <w:szCs w:val="21"/>
        </w:rPr>
        <w:t>理财</w:t>
      </w:r>
      <w:r>
        <w:rPr>
          <w:rFonts w:hint="eastAsia" w:ascii="仿宋" w:hAnsi="仿宋" w:eastAsia="仿宋" w:cs="仿宋"/>
          <w:color w:val="000000"/>
          <w:szCs w:val="21"/>
        </w:rPr>
        <w:t>产品开放日：指投资者可以办理理财产品申购、赎回等交易业务的日期。具体开放日、交易时间以理财产品说明书、销售协议书、代理销售协议书（如有）约定为准。封闭式理财产品不设开放日。</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14.认购：指投资者在发行/募集期内购买理财产品。</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15.申购：指投资者在理财产品成立后的开放日购买理财产品。</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16.赎回：指投资者主动部分或全部退出所持有理财产品。</w:t>
      </w:r>
    </w:p>
    <w:p>
      <w:pPr>
        <w:numPr>
          <w:ins w:id="0" w:author="苏晨晓" w:date=""/>
        </w:numPr>
        <w:adjustRightInd w:val="0"/>
        <w:snapToGrid w:val="0"/>
        <w:spacing w:line="360" w:lineRule="auto"/>
        <w:ind w:firstLine="420" w:firstLineChars="200"/>
        <w:rPr>
          <w:rFonts w:hint="eastAsia" w:ascii="仿宋" w:hAnsi="仿宋" w:eastAsia="仿宋" w:cs="仿宋"/>
          <w:b/>
          <w:bCs/>
          <w:color w:val="000000"/>
          <w:szCs w:val="21"/>
        </w:rPr>
      </w:pPr>
      <w:r>
        <w:rPr>
          <w:rFonts w:hint="eastAsia" w:ascii="仿宋" w:hAnsi="仿宋" w:eastAsia="仿宋" w:cs="仿宋"/>
          <w:color w:val="000000"/>
          <w:szCs w:val="21"/>
        </w:rPr>
        <w:t>17.预约认购：</w:t>
      </w:r>
      <w:r>
        <w:rPr>
          <w:rFonts w:hint="eastAsia" w:ascii="仿宋" w:hAnsi="仿宋" w:eastAsia="仿宋" w:cs="仿宋"/>
          <w:szCs w:val="21"/>
        </w:rPr>
        <w:t>指理财产品发行起始日至发行终止日前，提前申请在产品发行终止日当天认购理财产品。</w:t>
      </w:r>
      <w:r>
        <w:rPr>
          <w:rFonts w:hint="eastAsia" w:ascii="仿宋" w:hAnsi="仿宋" w:eastAsia="仿宋" w:cs="仿宋"/>
          <w:color w:val="000000"/>
          <w:szCs w:val="21"/>
        </w:rPr>
        <w:t>预约认购申请视同在发行终止日当天的认购申请。</w:t>
      </w:r>
      <w:r>
        <w:rPr>
          <w:rFonts w:hint="eastAsia" w:ascii="仿宋" w:hAnsi="仿宋" w:eastAsia="仿宋" w:cs="仿宋"/>
          <w:b/>
          <w:bCs/>
          <w:color w:val="000000"/>
          <w:szCs w:val="21"/>
        </w:rPr>
        <w:t>代销机构另有约定的，以代销机构约定为准。</w:t>
      </w:r>
    </w:p>
    <w:p>
      <w:pPr>
        <w:numPr>
          <w:ins w:id="1" w:author="苏晨晓" w:date=""/>
        </w:numPr>
        <w:adjustRightInd w:val="0"/>
        <w:snapToGrid w:val="0"/>
        <w:spacing w:line="360" w:lineRule="auto"/>
        <w:ind w:firstLine="420" w:firstLineChars="200"/>
        <w:rPr>
          <w:rFonts w:hint="eastAsia" w:ascii="仿宋" w:hAnsi="仿宋" w:eastAsia="仿宋" w:cs="仿宋"/>
          <w:b/>
          <w:bCs/>
          <w:color w:val="000000"/>
          <w:szCs w:val="21"/>
        </w:rPr>
      </w:pPr>
      <w:r>
        <w:rPr>
          <w:rFonts w:hint="eastAsia" w:ascii="仿宋" w:hAnsi="仿宋" w:eastAsia="仿宋" w:cs="仿宋"/>
          <w:color w:val="000000"/>
          <w:szCs w:val="21"/>
        </w:rPr>
        <w:t>18.预约申购/预约赎回：指理财产品封闭期最后一个工作日约定时点（具体约定详见产品说明书）前，</w:t>
      </w:r>
      <w:r>
        <w:rPr>
          <w:rFonts w:hint="eastAsia" w:ascii="仿宋" w:hAnsi="仿宋" w:eastAsia="仿宋" w:cs="仿宋"/>
          <w:bCs/>
          <w:szCs w:val="21"/>
        </w:rPr>
        <w:t>提前申请在下一开放日开放时间内申购/赎回理财产品。</w:t>
      </w:r>
      <w:r>
        <w:rPr>
          <w:rFonts w:hint="eastAsia" w:ascii="仿宋" w:hAnsi="仿宋" w:eastAsia="仿宋" w:cs="仿宋"/>
          <w:color w:val="000000"/>
          <w:szCs w:val="21"/>
        </w:rPr>
        <w:t>预约申购及预约赎回申请，视同在下一开放日开放时间内的申购/赎回申请。</w:t>
      </w:r>
      <w:r>
        <w:rPr>
          <w:rFonts w:hint="eastAsia" w:ascii="仿宋" w:hAnsi="仿宋" w:eastAsia="仿宋" w:cs="仿宋"/>
          <w:b/>
          <w:bCs/>
          <w:color w:val="000000"/>
          <w:szCs w:val="21"/>
        </w:rPr>
        <w:t>代销机构另有约定的，以代销机构约定为准。</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19.巨额赎回：指开放式公募理财产品单个开放日净赎回申请超过理财产品总份额的10%的赎回行为。出现巨额赎回时，按照法律法规、监管规定和理财产品销售文件约定，乙方有权综合运用设置赎回上限、延期办理巨额赎回申请、暂停接受赎回申请、收取强制赎回费等方式，降低理财产品流动性风险，具体以理财产品说明书约定为准。</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20.冷静期：对私募类理财产品，甲方自签署私募理财产品销售文件之时起，有权享有24小时的投资冷静期。在投资冷静期内，如果甲方改变决定，乙方将遵从甲方意愿，解除已签订的销售文件，并及时退还全部投资款项。</w:t>
      </w:r>
    </w:p>
    <w:p>
      <w:pPr>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二、理财产品销售业务规则</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为维护全体投资者权益，乙方可根据法律法规、监管规定及说明书约定设置、调整理财产品的销售总规模、销售机构、销售渠道、销售对象、销售机构或渠道的销售额度、交易时间及其他交易条件等销售业务规则，并履行信息披露义务。</w:t>
      </w:r>
    </w:p>
    <w:p>
      <w:pPr>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w:t>
      </w:r>
      <w:r>
        <w:rPr>
          <w:rFonts w:hint="eastAsia" w:ascii="仿宋" w:hAnsi="仿宋" w:eastAsia="仿宋" w:cs="仿宋"/>
          <w:b/>
          <w:color w:val="000000"/>
          <w:szCs w:val="21"/>
        </w:rPr>
        <w:t>（如为机构投资者）</w:t>
      </w:r>
      <w:r>
        <w:rPr>
          <w:rFonts w:hint="eastAsia" w:ascii="仿宋" w:hAnsi="仿宋" w:eastAsia="仿宋" w:cs="仿宋"/>
          <w:b/>
          <w:bCs/>
          <w:color w:val="000000"/>
          <w:szCs w:val="21"/>
        </w:rPr>
        <w:t>法定代表人授权其他人员办理本协议项下相关业务的，应按照乙方、代销机构要求提供授权书、授权代理人身份证件等资料。</w:t>
      </w:r>
    </w:p>
    <w:p>
      <w:pPr>
        <w:adjustRightInd w:val="0"/>
        <w:snapToGrid w:val="0"/>
        <w:spacing w:line="360" w:lineRule="auto"/>
        <w:ind w:firstLine="422" w:firstLineChars="200"/>
        <w:rPr>
          <w:rFonts w:hint="eastAsia" w:ascii="仿宋" w:hAnsi="仿宋" w:eastAsia="仿宋" w:cs="仿宋"/>
          <w:color w:val="000000"/>
          <w:szCs w:val="21"/>
        </w:rPr>
      </w:pPr>
      <w:r>
        <w:rPr>
          <w:rFonts w:hint="eastAsia" w:ascii="仿宋" w:hAnsi="仿宋" w:eastAsia="仿宋" w:cs="仿宋"/>
          <w:b/>
          <w:color w:val="000000"/>
          <w:szCs w:val="21"/>
        </w:rPr>
        <w:t>（</w:t>
      </w:r>
      <w:r>
        <w:rPr>
          <w:rFonts w:hint="eastAsia" w:ascii="仿宋" w:hAnsi="仿宋" w:eastAsia="仿宋" w:cs="仿宋"/>
          <w:b/>
          <w:bCs/>
          <w:color w:val="000000"/>
          <w:szCs w:val="21"/>
        </w:rPr>
        <w:t>一</w:t>
      </w:r>
      <w:r>
        <w:rPr>
          <w:rFonts w:hint="eastAsia" w:ascii="仿宋" w:hAnsi="仿宋" w:eastAsia="仿宋" w:cs="仿宋"/>
          <w:b/>
          <w:color w:val="000000"/>
          <w:szCs w:val="21"/>
        </w:rPr>
        <w:t>）</w:t>
      </w:r>
      <w:r>
        <w:rPr>
          <w:rFonts w:hint="eastAsia" w:ascii="仿宋" w:hAnsi="仿宋" w:eastAsia="仿宋" w:cs="仿宋"/>
          <w:b/>
          <w:bCs/>
          <w:color w:val="000000"/>
          <w:szCs w:val="21"/>
        </w:rPr>
        <w:t>理财业务签约</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1.甲方已在代销机构开立账户并进行理财业务签约（以下简称“签约账户”），指定签约账户用于认购/预约认购/申购/预约申购/赎回/预约赎回本协议书项下的理财产品。</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color w:val="000000"/>
          <w:szCs w:val="21"/>
          <w:lang w:val="en-US" w:eastAsia="zh-CN"/>
        </w:rPr>
        <w:t>非机构投资者的联系方式、通讯地址等信息以甲方在代销机构开立签约账户时预留的信息为准。</w:t>
      </w:r>
      <w:r>
        <w:rPr>
          <w:rFonts w:hint="eastAsia" w:ascii="仿宋" w:hAnsi="仿宋" w:eastAsia="仿宋" w:cs="仿宋"/>
          <w:color w:val="000000"/>
          <w:szCs w:val="21"/>
        </w:rPr>
        <w:t>甲方确认在签约时提供的证件资料、联系方式等信息真实且有效。乙方和代销机构在法律、法规、监管规定、有权机关规定的期限内留存甲方信息。</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3.甲方变更证件资料、联系方式、签约账户、交易渠道等本协议项下的相关内容须及时按代销机构要求办理变更手续。对于甲方变更上述信息但未及时办理相关手续造成的损失，乙方和代销机构不承担责任。</w:t>
      </w:r>
    </w:p>
    <w:p>
      <w:pPr>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4</w:t>
      </w:r>
      <w:r>
        <w:rPr>
          <w:rFonts w:hint="eastAsia" w:ascii="仿宋" w:hAnsi="仿宋" w:eastAsia="仿宋" w:cs="仿宋"/>
          <w:b/>
          <w:color w:val="000000"/>
          <w:szCs w:val="21"/>
        </w:rPr>
        <w:t>.</w:t>
      </w:r>
      <w:r>
        <w:rPr>
          <w:rFonts w:hint="eastAsia" w:ascii="仿宋" w:hAnsi="仿宋" w:eastAsia="仿宋" w:cs="仿宋"/>
          <w:b/>
          <w:bCs/>
          <w:color w:val="000000"/>
          <w:szCs w:val="21"/>
        </w:rPr>
        <w:t>甲方在理财产品全部赎回或兑付前，不得办理签约账户销户。</w:t>
      </w:r>
    </w:p>
    <w:p>
      <w:pPr>
        <w:adjustRightInd w:val="0"/>
        <w:snapToGrid w:val="0"/>
        <w:spacing w:line="360" w:lineRule="auto"/>
        <w:ind w:firstLine="422" w:firstLineChars="200"/>
        <w:rPr>
          <w:rFonts w:hint="eastAsia" w:ascii="仿宋" w:hAnsi="仿宋" w:eastAsia="仿宋" w:cs="仿宋"/>
          <w:color w:val="000000"/>
          <w:szCs w:val="21"/>
        </w:rPr>
      </w:pPr>
      <w:r>
        <w:rPr>
          <w:rFonts w:hint="eastAsia" w:ascii="仿宋" w:hAnsi="仿宋" w:eastAsia="仿宋" w:cs="仿宋"/>
          <w:b/>
          <w:color w:val="000000"/>
          <w:szCs w:val="21"/>
        </w:rPr>
        <w:t>（二）认购/申购/预约认购/预约申购/赎回/预约赎回</w:t>
      </w:r>
    </w:p>
    <w:p>
      <w:pPr>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bCs/>
          <w:color w:val="000000"/>
          <w:szCs w:val="21"/>
        </w:rPr>
        <w:t>1.</w:t>
      </w:r>
      <w:r>
        <w:rPr>
          <w:rFonts w:hint="eastAsia" w:ascii="仿宋" w:hAnsi="仿宋" w:eastAsia="仿宋" w:cs="仿宋"/>
          <w:b/>
          <w:color w:val="000000"/>
          <w:szCs w:val="21"/>
        </w:rPr>
        <w:t>甲方应根据自身风险承受能力审慎购买理财产品。甲方同意在理财产品认购/申购/预约认购/预约申购时代销机构依约定从签约账户中预扣或冻结约定的申请金额用于购买理财产品。扣划或冻结期间，是否计付利息以代销机构业务规则为准，与乙方无关。</w:t>
      </w:r>
    </w:p>
    <w:p>
      <w:pPr>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2</w:t>
      </w:r>
      <w:r>
        <w:rPr>
          <w:rFonts w:hint="eastAsia" w:ascii="仿宋" w:hAnsi="仿宋" w:eastAsia="仿宋" w:cs="仿宋"/>
          <w:b/>
          <w:bCs/>
          <w:color w:val="000000"/>
          <w:szCs w:val="21"/>
        </w:rPr>
        <w:t>.</w:t>
      </w:r>
      <w:r>
        <w:rPr>
          <w:rFonts w:hint="eastAsia" w:ascii="仿宋" w:hAnsi="仿宋" w:eastAsia="仿宋" w:cs="仿宋"/>
          <w:b/>
          <w:color w:val="000000"/>
          <w:szCs w:val="21"/>
        </w:rPr>
        <w:t>甲方同意在认购/申购/预约认购/预约申购交易后，代销机构依据约定划款时间予以划款，不再与甲方确认。甲方认购/申购风险较高或单笔金额较大的理财产品时，亦适用此项约定。</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3.产品兑付时，乙方委托代销机构根据理财产品说明书的约定将理财本金及理财收益（如有）划入甲方签约账户。</w:t>
      </w:r>
    </w:p>
    <w:p>
      <w:pPr>
        <w:adjustRightInd w:val="0"/>
        <w:snapToGrid w:val="0"/>
        <w:spacing w:line="360" w:lineRule="auto"/>
        <w:ind w:firstLine="420" w:firstLineChars="200"/>
        <w:rPr>
          <w:rFonts w:hint="eastAsia" w:ascii="仿宋" w:hAnsi="仿宋" w:eastAsia="仿宋" w:cs="仿宋"/>
          <w:szCs w:val="21"/>
        </w:rPr>
      </w:pPr>
      <w:r>
        <w:rPr>
          <w:rFonts w:hint="eastAsia" w:ascii="仿宋" w:hAnsi="仿宋" w:eastAsia="仿宋" w:cs="仿宋"/>
          <w:bCs/>
          <w:color w:val="000000"/>
          <w:szCs w:val="21"/>
        </w:rPr>
        <w:t>4</w:t>
      </w:r>
      <w:r>
        <w:rPr>
          <w:rFonts w:hint="eastAsia" w:ascii="仿宋" w:hAnsi="仿宋" w:eastAsia="仿宋" w:cs="仿宋"/>
          <w:color w:val="000000"/>
          <w:szCs w:val="21"/>
        </w:rPr>
        <w:t>.</w:t>
      </w:r>
      <w:r>
        <w:rPr>
          <w:rFonts w:hint="eastAsia" w:ascii="仿宋" w:hAnsi="仿宋" w:eastAsia="仿宋" w:cs="仿宋"/>
          <w:bCs/>
          <w:color w:val="000000"/>
          <w:szCs w:val="21"/>
        </w:rPr>
        <w:t>乙</w:t>
      </w:r>
      <w:r>
        <w:rPr>
          <w:rFonts w:hint="eastAsia" w:ascii="仿宋" w:hAnsi="仿宋" w:eastAsia="仿宋" w:cs="仿宋"/>
          <w:color w:val="000000"/>
          <w:szCs w:val="21"/>
        </w:rPr>
        <w:t>方允许甲方在发行/募集期内撤销认购/预约认购，</w:t>
      </w:r>
      <w:r>
        <w:rPr>
          <w:rFonts w:hint="eastAsia" w:ascii="仿宋" w:hAnsi="仿宋" w:eastAsia="仿宋" w:cs="仿宋"/>
          <w:szCs w:val="21"/>
        </w:rPr>
        <w:t>甲方退回的理财本金具体到账时间以代销机构规定为准。</w:t>
      </w:r>
    </w:p>
    <w:p>
      <w:pPr>
        <w:adjustRightInd w:val="0"/>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5</w:t>
      </w:r>
      <w:r>
        <w:rPr>
          <w:rFonts w:hint="eastAsia" w:ascii="仿宋" w:hAnsi="仿宋" w:eastAsia="仿宋" w:cs="仿宋"/>
          <w:color w:val="000000"/>
          <w:szCs w:val="21"/>
        </w:rPr>
        <w:t>.</w:t>
      </w:r>
      <w:r>
        <w:rPr>
          <w:rFonts w:hint="eastAsia" w:ascii="仿宋" w:hAnsi="仿宋" w:eastAsia="仿宋" w:cs="仿宋"/>
          <w:szCs w:val="21"/>
        </w:rPr>
        <w:t>预约认购申请，视同在发行终止日当天的认购申请，具体办理规则以代销机构约定为准。</w:t>
      </w:r>
    </w:p>
    <w:p>
      <w:pPr>
        <w:adjustRightInd w:val="0"/>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6</w:t>
      </w:r>
      <w:r>
        <w:rPr>
          <w:rFonts w:hint="eastAsia" w:ascii="仿宋" w:hAnsi="仿宋" w:eastAsia="仿宋" w:cs="仿宋"/>
          <w:color w:val="000000"/>
          <w:szCs w:val="21"/>
        </w:rPr>
        <w:t>.</w:t>
      </w:r>
      <w:r>
        <w:rPr>
          <w:rFonts w:hint="eastAsia" w:ascii="仿宋" w:hAnsi="仿宋" w:eastAsia="仿宋" w:cs="仿宋"/>
          <w:szCs w:val="21"/>
        </w:rPr>
        <w:t>预约申购申请，视同在下一开放日开放时间内的申购申请，具体办理规则以代销机构约定为准。</w:t>
      </w:r>
    </w:p>
    <w:p>
      <w:pPr>
        <w:tabs>
          <w:tab w:val="left" w:pos="312"/>
        </w:tabs>
        <w:adjustRightInd w:val="0"/>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7</w:t>
      </w:r>
      <w:r>
        <w:rPr>
          <w:rFonts w:hint="eastAsia" w:ascii="仿宋" w:hAnsi="仿宋" w:eastAsia="仿宋" w:cs="仿宋"/>
          <w:color w:val="000000"/>
          <w:szCs w:val="21"/>
        </w:rPr>
        <w:t>.</w:t>
      </w:r>
      <w:r>
        <w:rPr>
          <w:rFonts w:hint="eastAsia" w:ascii="仿宋" w:hAnsi="仿宋" w:eastAsia="仿宋" w:cs="仿宋"/>
          <w:szCs w:val="21"/>
        </w:rPr>
        <w:t>产品开放期间，投资者可撤销已提交的申购/赎回申请，具体规定如下：</w:t>
      </w:r>
    </w:p>
    <w:p>
      <w:pPr>
        <w:tabs>
          <w:tab w:val="left" w:pos="312"/>
        </w:tabs>
        <w:adjustRightInd w:val="0"/>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（1）只能全额撤销；</w:t>
      </w:r>
    </w:p>
    <w:p>
      <w:pPr>
        <w:tabs>
          <w:tab w:val="left" w:pos="312"/>
        </w:tabs>
        <w:adjustRightInd w:val="0"/>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（2）开放日开放时间之后不能撤销。</w:t>
      </w:r>
    </w:p>
    <w:p>
      <w:pPr>
        <w:tabs>
          <w:tab w:val="left" w:pos="312"/>
        </w:tabs>
        <w:adjustRightInd w:val="0"/>
        <w:snapToGrid w:val="0"/>
        <w:spacing w:line="360" w:lineRule="auto"/>
        <w:ind w:firstLine="422" w:firstLineChars="200"/>
        <w:rPr>
          <w:rFonts w:hint="eastAsia" w:ascii="仿宋" w:hAnsi="仿宋" w:eastAsia="仿宋" w:cs="仿宋"/>
          <w:szCs w:val="21"/>
        </w:rPr>
      </w:pPr>
      <w:r>
        <w:rPr>
          <w:rFonts w:hint="eastAsia" w:ascii="仿宋" w:hAnsi="仿宋" w:eastAsia="仿宋" w:cs="仿宋"/>
          <w:b/>
          <w:bCs/>
          <w:szCs w:val="21"/>
        </w:rPr>
        <w:t>代销机构如有约定的，以代销机构约定为准。</w:t>
      </w:r>
    </w:p>
    <w:p>
      <w:pPr>
        <w:tabs>
          <w:tab w:val="left" w:pos="312"/>
        </w:tabs>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szCs w:val="21"/>
        </w:rPr>
        <w:t>8</w:t>
      </w:r>
      <w:r>
        <w:rPr>
          <w:rFonts w:hint="eastAsia" w:ascii="仿宋" w:hAnsi="仿宋" w:eastAsia="仿宋" w:cs="仿宋"/>
          <w:b/>
          <w:bCs/>
          <w:color w:val="000000"/>
          <w:szCs w:val="21"/>
        </w:rPr>
        <w:t>.甲方通过代销机构提交的理财产品申购/赎回的撤单申请，按产品说明书约定经乙方或代销机构确认后方可生效。</w:t>
      </w:r>
    </w:p>
    <w:p>
      <w:pPr>
        <w:adjustRightInd w:val="0"/>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9</w:t>
      </w:r>
      <w:r>
        <w:rPr>
          <w:rFonts w:hint="eastAsia" w:ascii="仿宋" w:hAnsi="仿宋" w:eastAsia="仿宋" w:cs="仿宋"/>
          <w:color w:val="000000"/>
          <w:szCs w:val="21"/>
        </w:rPr>
        <w:t>.</w:t>
      </w:r>
      <w:r>
        <w:rPr>
          <w:rFonts w:hint="eastAsia" w:ascii="仿宋" w:hAnsi="仿宋" w:eastAsia="仿宋" w:cs="仿宋"/>
          <w:szCs w:val="21"/>
        </w:rPr>
        <w:t>封闭期的最后一个工作日</w:t>
      </w:r>
      <w:r>
        <w:rPr>
          <w:rFonts w:hint="eastAsia" w:ascii="仿宋" w:hAnsi="仿宋" w:eastAsia="仿宋" w:cs="仿宋"/>
          <w:color w:val="000000"/>
          <w:szCs w:val="21"/>
        </w:rPr>
        <w:t>约定时点（具体时点以产品说明书及代销机构约定为准）</w:t>
      </w:r>
      <w:r>
        <w:rPr>
          <w:rFonts w:hint="eastAsia" w:ascii="仿宋" w:hAnsi="仿宋" w:eastAsia="仿宋" w:cs="仿宋"/>
          <w:szCs w:val="21"/>
        </w:rPr>
        <w:t>前，投资者仅可对已提交的预约申购、预约赎回申请进行全额撤销。</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10.甲方购买乙方发行管理的私募理财产品，可按销售文件约定享有不少于24小时的投资冷静期。在冷静期内，如甲方改变投资决定，应立即在投资冷静期内撤销认/申购的申请，销售机构应按约定退还客户款项。</w:t>
      </w:r>
    </w:p>
    <w:p>
      <w:pPr>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11.在产品存续期内，除非出现按照产品说明书约定终止理财产品的情形，否则不得要求乙方在产品非开放日前退还已扣款项或以任何形式清算其持有的理财产品份额。</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12．本协议中涉及的日期如遇产品说明书约定的非工作日，则自动顺延至下一个工作日。</w:t>
      </w:r>
    </w:p>
    <w:p>
      <w:pPr>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三、客户信息保密及使用</w:t>
      </w:r>
    </w:p>
    <w:p>
      <w:pPr>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color w:val="000000"/>
          <w:szCs w:val="21"/>
        </w:rPr>
        <w:t>乙方、代销机构应就理财产品销售过程中获知的甲方信息承担保密义务。非经甲方事先许可，不得向第三方披露，但法律法规或监管规定另有要求的除外。</w:t>
      </w:r>
      <w:r>
        <w:rPr>
          <w:rFonts w:hint="eastAsia" w:ascii="仿宋" w:hAnsi="仿宋" w:eastAsia="仿宋" w:cs="仿宋"/>
          <w:b/>
          <w:bCs/>
          <w:color w:val="000000"/>
          <w:szCs w:val="21"/>
        </w:rPr>
        <w:t>甲方在此同意，乙方及代销机构可根据监管要求，为理财产品登记等需要，向登记部门或监管机构提供甲方相关信息。</w:t>
      </w:r>
    </w:p>
    <w:p>
      <w:pPr>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（一）个人信息使用授权</w:t>
      </w:r>
    </w:p>
    <w:p>
      <w:pPr>
        <w:adjustRightInd w:val="0"/>
        <w:snapToGrid w:val="0"/>
        <w:spacing w:line="360" w:lineRule="auto"/>
        <w:ind w:firstLine="420" w:firstLineChars="200"/>
        <w:rPr>
          <w:rFonts w:hint="eastAsia" w:ascii="仿宋" w:hAnsi="仿宋" w:eastAsia="仿宋" w:cs="仿宋"/>
          <w:b/>
          <w:bCs/>
          <w:color w:val="000000"/>
          <w:szCs w:val="21"/>
        </w:rPr>
      </w:pPr>
      <w:r>
        <w:rPr>
          <w:rFonts w:hint="eastAsia" w:ascii="仿宋" w:hAnsi="仿宋" w:eastAsia="仿宋" w:cs="仿宋"/>
          <w:color w:val="000000"/>
          <w:szCs w:val="21"/>
        </w:rPr>
        <w:t>个人信息是以电子或者其他方式记录的，与已识别或者可识别的自然人有关的各种信息，不包括匿名化处理后的信息。甲方同意并自愿授权乙方在提供理财业务服务所必需的情形下，</w:t>
      </w:r>
      <w:r>
        <w:rPr>
          <w:rFonts w:hint="eastAsia" w:ascii="仿宋" w:hAnsi="仿宋" w:eastAsia="仿宋" w:cs="仿宋"/>
          <w:b/>
          <w:bCs/>
          <w:color w:val="000000"/>
          <w:szCs w:val="21"/>
        </w:rPr>
        <w:t>基于身份验证、理财业务办理、风险监测和保护账户资金安全、履行反洗钱和制裁要求、履行非居民金融账户涉税信息尽职调查义务、审计、客户服务与回访、统计分析和加工处理、归档和业务备份、履行其他法定义务等目的，以收集、存储、使用、传输、提供、删除等方式处理获取的如下甲方个人信息：</w:t>
      </w:r>
    </w:p>
    <w:tbl>
      <w:tblPr>
        <w:tblStyle w:val="8"/>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1"/>
        <w:gridCol w:w="83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1" w:type="dxa"/>
            <w:noWrap w:val="0"/>
            <w:vAlign w:val="center"/>
          </w:tcPr>
          <w:p>
            <w:pPr>
              <w:adjustRightInd w:val="0"/>
              <w:spacing w:line="240" w:lineRule="auto"/>
              <w:jc w:val="center"/>
              <w:rPr>
                <w:rFonts w:hint="eastAsia" w:ascii="仿宋" w:hAnsi="仿宋" w:eastAsia="仿宋" w:cs="仿宋"/>
                <w:b/>
                <w:bCs/>
                <w:color w:val="000000"/>
                <w:szCs w:val="21"/>
              </w:rPr>
            </w:pPr>
            <w:r>
              <w:rPr>
                <w:rFonts w:hint="eastAsia" w:ascii="仿宋" w:hAnsi="仿宋" w:eastAsia="仿宋" w:cs="仿宋"/>
                <w:b/>
                <w:bCs/>
                <w:color w:val="000000"/>
                <w:szCs w:val="21"/>
              </w:rPr>
              <w:t>适用于</w:t>
            </w:r>
          </w:p>
          <w:p>
            <w:pPr>
              <w:adjustRightInd w:val="0"/>
              <w:spacing w:line="240" w:lineRule="auto"/>
              <w:jc w:val="center"/>
              <w:rPr>
                <w:rFonts w:hint="eastAsia" w:ascii="仿宋" w:hAnsi="仿宋" w:eastAsia="仿宋" w:cs="仿宋"/>
                <w:b/>
                <w:bCs/>
                <w:color w:val="000000"/>
                <w:szCs w:val="21"/>
              </w:rPr>
            </w:pPr>
            <w:r>
              <w:rPr>
                <w:rFonts w:hint="eastAsia" w:ascii="仿宋" w:hAnsi="仿宋" w:eastAsia="仿宋" w:cs="仿宋"/>
                <w:b/>
                <w:bCs/>
                <w:color w:val="000000"/>
                <w:szCs w:val="21"/>
              </w:rPr>
              <w:t>个人</w:t>
            </w:r>
          </w:p>
          <w:p>
            <w:pPr>
              <w:adjustRightInd w:val="0"/>
              <w:spacing w:line="240" w:lineRule="auto"/>
              <w:jc w:val="center"/>
              <w:rPr>
                <w:rFonts w:hint="eastAsia" w:ascii="仿宋" w:hAnsi="仿宋" w:eastAsia="仿宋" w:cs="仿宋"/>
                <w:b/>
                <w:bCs/>
                <w:color w:val="000000"/>
                <w:szCs w:val="21"/>
              </w:rPr>
            </w:pPr>
            <w:r>
              <w:rPr>
                <w:rFonts w:hint="eastAsia" w:ascii="仿宋" w:hAnsi="仿宋" w:eastAsia="仿宋" w:cs="仿宋"/>
                <w:b/>
                <w:bCs/>
                <w:color w:val="000000"/>
                <w:szCs w:val="21"/>
              </w:rPr>
              <w:t>投资者</w:t>
            </w:r>
          </w:p>
        </w:tc>
        <w:tc>
          <w:tcPr>
            <w:tcW w:w="8372" w:type="dxa"/>
            <w:noWrap w:val="0"/>
            <w:vAlign w:val="center"/>
          </w:tcPr>
          <w:p>
            <w:pPr>
              <w:adjustRightInd w:val="0"/>
              <w:spacing w:line="240" w:lineRule="auto"/>
              <w:rPr>
                <w:rFonts w:hint="eastAsia" w:ascii="仿宋" w:hAnsi="仿宋" w:eastAsia="仿宋" w:cs="仿宋"/>
                <w:b/>
                <w:bCs/>
                <w:color w:val="000000"/>
                <w:szCs w:val="21"/>
              </w:rPr>
            </w:pPr>
            <w:r>
              <w:rPr>
                <w:rFonts w:hint="eastAsia" w:ascii="仿宋" w:hAnsi="仿宋" w:eastAsia="仿宋" w:cs="仿宋"/>
                <w:b/>
                <w:bCs/>
                <w:color w:val="000000"/>
                <w:szCs w:val="21"/>
              </w:rPr>
              <w:t>甲方个人信息指本人的个人信息，包括：</w:t>
            </w:r>
          </w:p>
          <w:p>
            <w:pPr>
              <w:adjustRightInd w:val="0"/>
              <w:spacing w:line="240" w:lineRule="auto"/>
              <w:rPr>
                <w:rFonts w:hint="eastAsia" w:ascii="仿宋" w:hAnsi="仿宋" w:eastAsia="仿宋" w:cs="仿宋"/>
                <w:b/>
                <w:bCs/>
                <w:color w:val="000000"/>
                <w:szCs w:val="21"/>
              </w:rPr>
            </w:pPr>
            <w:r>
              <w:rPr>
                <w:rFonts w:hint="eastAsia" w:ascii="仿宋" w:hAnsi="仿宋" w:eastAsia="仿宋" w:cs="仿宋"/>
                <w:b/>
                <w:bCs/>
                <w:color w:val="000000"/>
                <w:szCs w:val="21"/>
              </w:rPr>
              <w:t>1.身份信息：姓名、性别、国籍、职业、工作单位、住址、联系方式、手机号码、身份证件信息；</w:t>
            </w:r>
          </w:p>
          <w:p>
            <w:pPr>
              <w:adjustRightInd w:val="0"/>
              <w:spacing w:line="240" w:lineRule="auto"/>
              <w:rPr>
                <w:rFonts w:hint="eastAsia" w:ascii="仿宋" w:hAnsi="仿宋" w:eastAsia="仿宋" w:cs="仿宋"/>
                <w:b/>
                <w:bCs/>
                <w:color w:val="000000"/>
                <w:szCs w:val="21"/>
              </w:rPr>
            </w:pPr>
            <w:r>
              <w:rPr>
                <w:rFonts w:hint="eastAsia" w:ascii="仿宋" w:hAnsi="仿宋" w:eastAsia="仿宋" w:cs="仿宋"/>
                <w:b/>
                <w:bCs/>
                <w:color w:val="000000"/>
                <w:szCs w:val="21"/>
              </w:rPr>
              <w:t>2.财产信息：纳税信息；</w:t>
            </w:r>
          </w:p>
          <w:p>
            <w:pPr>
              <w:adjustRightInd w:val="0"/>
              <w:spacing w:line="240" w:lineRule="auto"/>
              <w:rPr>
                <w:rFonts w:hint="eastAsia" w:ascii="仿宋" w:hAnsi="仿宋" w:eastAsia="仿宋" w:cs="仿宋"/>
                <w:b/>
                <w:bCs/>
                <w:color w:val="000000"/>
                <w:szCs w:val="21"/>
              </w:rPr>
            </w:pPr>
            <w:r>
              <w:rPr>
                <w:rFonts w:hint="eastAsia" w:ascii="仿宋" w:hAnsi="仿宋" w:eastAsia="仿宋" w:cs="仿宋"/>
                <w:b/>
                <w:bCs/>
                <w:color w:val="000000"/>
                <w:szCs w:val="21"/>
              </w:rPr>
              <w:t>3.账户信息：银行卡号或账号信息；</w:t>
            </w:r>
          </w:p>
          <w:p>
            <w:pPr>
              <w:adjustRightInd w:val="0"/>
              <w:spacing w:line="240" w:lineRule="auto"/>
              <w:rPr>
                <w:rFonts w:hint="eastAsia" w:ascii="仿宋" w:hAnsi="仿宋" w:eastAsia="仿宋" w:cs="仿宋"/>
                <w:b/>
                <w:bCs/>
                <w:color w:val="000000"/>
                <w:szCs w:val="21"/>
              </w:rPr>
            </w:pPr>
            <w:r>
              <w:rPr>
                <w:rFonts w:hint="eastAsia" w:ascii="仿宋" w:hAnsi="仿宋" w:eastAsia="仿宋" w:cs="仿宋"/>
                <w:b/>
                <w:bCs/>
                <w:color w:val="000000"/>
                <w:szCs w:val="21"/>
              </w:rPr>
              <w:t>4.交易信息：交易金额、交易凭证。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1" w:type="dxa"/>
            <w:noWrap w:val="0"/>
            <w:vAlign w:val="center"/>
          </w:tcPr>
          <w:p>
            <w:pPr>
              <w:adjustRightInd w:val="0"/>
              <w:spacing w:line="240" w:lineRule="auto"/>
              <w:jc w:val="center"/>
              <w:rPr>
                <w:rFonts w:hint="eastAsia" w:ascii="仿宋" w:hAnsi="仿宋" w:eastAsia="仿宋" w:cs="仿宋"/>
                <w:b/>
                <w:bCs/>
                <w:color w:val="000000"/>
                <w:szCs w:val="21"/>
              </w:rPr>
            </w:pPr>
            <w:r>
              <w:rPr>
                <w:rFonts w:hint="eastAsia" w:ascii="仿宋" w:hAnsi="仿宋" w:eastAsia="仿宋" w:cs="仿宋"/>
                <w:b/>
                <w:bCs/>
                <w:color w:val="000000"/>
                <w:szCs w:val="21"/>
              </w:rPr>
              <w:t>适用于</w:t>
            </w:r>
          </w:p>
          <w:p>
            <w:pPr>
              <w:adjustRightInd w:val="0"/>
              <w:spacing w:line="240" w:lineRule="auto"/>
              <w:jc w:val="center"/>
              <w:rPr>
                <w:rFonts w:hint="eastAsia" w:ascii="仿宋" w:hAnsi="仿宋" w:eastAsia="仿宋" w:cs="仿宋"/>
                <w:b/>
                <w:bCs/>
                <w:color w:val="000000"/>
                <w:szCs w:val="21"/>
              </w:rPr>
            </w:pPr>
            <w:r>
              <w:rPr>
                <w:rFonts w:hint="eastAsia" w:ascii="仿宋" w:hAnsi="仿宋" w:eastAsia="仿宋" w:cs="仿宋"/>
                <w:b/>
                <w:bCs/>
                <w:color w:val="000000"/>
                <w:szCs w:val="21"/>
              </w:rPr>
              <w:t>机构</w:t>
            </w:r>
          </w:p>
          <w:p>
            <w:pPr>
              <w:adjustRightInd w:val="0"/>
              <w:spacing w:line="240" w:lineRule="auto"/>
              <w:jc w:val="center"/>
              <w:rPr>
                <w:rFonts w:hint="eastAsia" w:ascii="仿宋" w:hAnsi="仿宋" w:eastAsia="仿宋" w:cs="仿宋"/>
                <w:b/>
                <w:bCs/>
                <w:color w:val="000000"/>
                <w:szCs w:val="21"/>
              </w:rPr>
            </w:pPr>
            <w:r>
              <w:rPr>
                <w:rFonts w:hint="eastAsia" w:ascii="仿宋" w:hAnsi="仿宋" w:eastAsia="仿宋" w:cs="仿宋"/>
                <w:b/>
                <w:bCs/>
                <w:color w:val="000000"/>
                <w:szCs w:val="21"/>
              </w:rPr>
              <w:t>投资者</w:t>
            </w:r>
          </w:p>
        </w:tc>
        <w:tc>
          <w:tcPr>
            <w:tcW w:w="8372" w:type="dxa"/>
            <w:noWrap w:val="0"/>
            <w:vAlign w:val="center"/>
          </w:tcPr>
          <w:p>
            <w:pPr>
              <w:adjustRightInd w:val="0"/>
              <w:spacing w:line="240" w:lineRule="auto"/>
              <w:rPr>
                <w:rFonts w:hint="eastAsia" w:ascii="仿宋" w:hAnsi="仿宋" w:eastAsia="仿宋" w:cs="仿宋"/>
                <w:b/>
                <w:bCs/>
                <w:color w:val="000000"/>
                <w:szCs w:val="21"/>
              </w:rPr>
            </w:pPr>
            <w:r>
              <w:rPr>
                <w:rFonts w:hint="eastAsia" w:ascii="仿宋" w:hAnsi="仿宋" w:eastAsia="仿宋" w:cs="仿宋"/>
                <w:b/>
                <w:bCs/>
                <w:color w:val="000000"/>
                <w:szCs w:val="21"/>
              </w:rPr>
              <w:t>甲方个人信息指经办人、法定代表人、实际控制人、实际受益人的个人信息，包括：</w:t>
            </w:r>
          </w:p>
          <w:p>
            <w:pPr>
              <w:adjustRightInd w:val="0"/>
              <w:spacing w:line="240" w:lineRule="auto"/>
              <w:rPr>
                <w:rFonts w:hint="eastAsia" w:ascii="仿宋" w:hAnsi="仿宋" w:eastAsia="仿宋" w:cs="仿宋"/>
                <w:b/>
                <w:bCs/>
                <w:color w:val="000000"/>
                <w:szCs w:val="21"/>
              </w:rPr>
            </w:pPr>
            <w:r>
              <w:rPr>
                <w:rFonts w:hint="eastAsia" w:ascii="仿宋" w:hAnsi="仿宋" w:eastAsia="仿宋" w:cs="仿宋"/>
                <w:b/>
                <w:bCs/>
                <w:color w:val="000000"/>
                <w:szCs w:val="21"/>
              </w:rPr>
              <w:t>身份信息：姓名、性别、国籍、职业、住址、联系方式、身份证件信息、证件有效期。</w:t>
            </w:r>
          </w:p>
        </w:tc>
      </w:tr>
    </w:tbl>
    <w:p>
      <w:pPr>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如果甲方不同意乙方处理上述个人信息，乙方将无法提供理财业务服务。</w:t>
      </w:r>
    </w:p>
    <w:p>
      <w:pPr>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（二）敏感个人信息使用授权</w:t>
      </w:r>
    </w:p>
    <w:p>
      <w:pPr>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以上甲方个人信息中身份证件信息、财产信息、账户信息、交易信息属于甲方的敏感个人信息，甲方同意并授权乙方处理其敏感个人信息。甲方不同意乙方处理该信息的，乙方将可能无法提供理财业务服务。</w:t>
      </w:r>
    </w:p>
    <w:p>
      <w:pPr>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知悉其敏感个人信息一旦发生泄露或者被非法使用的，容易导致甲方的人身、财产安全受到危害。乙方承诺将按照法律法规、监管规定等相关要求，在现有技术水平下，采取严格的保护措施保护甲方的敏感个人信息。</w:t>
      </w:r>
    </w:p>
    <w:p>
      <w:pPr>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（三）对外提供个人信息</w:t>
      </w:r>
    </w:p>
    <w:p>
      <w:pPr>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同意并自愿授权乙方根据法律法规、监管部门的规定或有权机关的命令，为履行反洗钱、反欺诈、开展金融账户涉税信息调查、公安及司法等有权机关查询/冻结/扣划、理财信息数据报送等法定职责或者法定义务之目的，将甲方的信息提供给银行业理财登记托管中心、理财业务监管机构及有权机关。</w:t>
      </w:r>
    </w:p>
    <w:p>
      <w:pPr>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（四）征得授权同意的例外</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依据相关法律、行政法规的规定，在以下情形中收集、使用甲方的个人信息无需征得甲方的授权：</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1.为订立、履行合同所必需的；</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2.产品管理人为履行法定职责或者法定义务所必需；</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3.为应对突发公共卫生事件，或者紧急情况下为保护自然人的生命健康和财产安全所必需；</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4.为公共利益实施新闻报道、舆论监督等行为，在合理的范围内处理个人信息；</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5.在合理的范围内处理个人自行公开或者其他已经合法公开的个人信息；</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6.法律、法规规定的其他情形。</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（五）公开个人信息</w:t>
      </w:r>
    </w:p>
    <w:p>
      <w:pPr>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知悉，乙方不会公开披露甲方的个人信息，如确需披露，乙方会告知甲方披露其个人信息的目的、类型，涉及敏感信息的还会告知敏感信息的内容，并事先征得甲方的同意。在法律法规、监管规定或有权机关命令的情况下，乙方可能会公开披露甲方的个人信息。</w:t>
      </w:r>
    </w:p>
    <w:p>
      <w:pPr>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（六）其他</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1.乙方获取的甲方个人信息及理财信息将存储在中华人民共和国境内。</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在乙方提供理财业务服务期间，甲方的个人信息授权持续有效。乙方仅在法律法规、监管规定要求的期限内，以及为实现本业务信息处理之目的所必需的时限内保留甲方的个人信息。当超出保留期限后，乙方将按照法律法规的规定，对甲方的个人信息进行删除或匿名化处理等相关操作。</w:t>
      </w:r>
    </w:p>
    <w:p>
      <w:pPr>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3.甲方有权通过理财销售机构行使法律所赋予甲方对个人信息的知情权、决定权、查阅权、复制权、更正及补充权、删除权、解释权等，法律、行政法规另有规定的除外。</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基于甲方同意乙方处理其个人信息的，甲方可以通过理财销售机构向乙方提出撤回处理个人信息的授权或改变授权同意的范围。甲方撤回对乙方处理个人信息的同意，乙方将可能无法继续提供理财业务服务。甲方撤回同意的，不会影响撤回前基于甲方同意乙方已进行的个人信息处理活动的效力。</w:t>
      </w:r>
    </w:p>
    <w:p>
      <w:pPr>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但如为履行合同所必需、或乙方为履行法定职责及义务等原因，乙方将可能无法响应甲方行使上述权利的请求。</w:t>
      </w:r>
    </w:p>
    <w:p>
      <w:pPr>
        <w:adjustRightInd w:val="0"/>
        <w:snapToGrid w:val="0"/>
        <w:spacing w:line="360" w:lineRule="auto"/>
        <w:ind w:firstLine="420" w:firstLineChars="200"/>
        <w:rPr>
          <w:rFonts w:hint="eastAsia" w:ascii="仿宋" w:hAnsi="仿宋" w:eastAsia="仿宋" w:cs="仿宋"/>
          <w:b/>
          <w:bCs/>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乙方对甲方的个人信息依法履行保密义务。对于甲方同意并自愿授权乙方处理的个人信息，乙方将严格按照法律法规、监管规定及与甲方的约定开展信息处理行为，并采取相应的安全措施来保护甲方的个人信息。</w:t>
      </w:r>
    </w:p>
    <w:p>
      <w:pPr>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四、产品收费</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1.乙方依据理财产品说明书约定的费用项目、收费条件、费率标准、收费方式等要素收取相关费用。</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2.乙方可根据市场情况调整已约定的收费项目、收费条件、费率标准和收费方式，并将在生效前通过约定信息披露途径予以披露。甲方不同意的，可根据公告信息赎回产品。</w:t>
      </w:r>
    </w:p>
    <w:p>
      <w:pPr>
        <w:adjustRightInd w:val="0"/>
        <w:snapToGrid w:val="0"/>
        <w:spacing w:line="360" w:lineRule="auto"/>
        <w:ind w:firstLine="422" w:firstLineChars="200"/>
        <w:outlineLvl w:val="0"/>
        <w:rPr>
          <w:rFonts w:hint="eastAsia" w:ascii="仿宋" w:hAnsi="仿宋" w:eastAsia="仿宋" w:cs="仿宋"/>
          <w:b/>
          <w:bCs/>
          <w:color w:val="000000"/>
          <w:szCs w:val="21"/>
        </w:rPr>
      </w:pPr>
      <w:r>
        <w:rPr>
          <w:rFonts w:hint="eastAsia" w:ascii="仿宋" w:hAnsi="仿宋" w:eastAsia="仿宋" w:cs="仿宋"/>
          <w:b/>
          <w:bCs/>
          <w:color w:val="000000"/>
          <w:szCs w:val="21"/>
        </w:rPr>
        <w:t>五、免责条款</w:t>
      </w:r>
    </w:p>
    <w:p>
      <w:pPr>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1</w:t>
      </w:r>
      <w:r>
        <w:rPr>
          <w:rFonts w:hint="eastAsia" w:ascii="仿宋" w:hAnsi="仿宋" w:eastAsia="仿宋" w:cs="仿宋"/>
          <w:b/>
          <w:bCs/>
          <w:color w:val="000000"/>
          <w:szCs w:val="21"/>
        </w:rPr>
        <w:t>.</w:t>
      </w:r>
      <w:r>
        <w:rPr>
          <w:rFonts w:hint="eastAsia" w:ascii="仿宋" w:hAnsi="仿宋" w:eastAsia="仿宋" w:cs="仿宋"/>
          <w:b/>
          <w:color w:val="000000"/>
          <w:szCs w:val="21"/>
        </w:rPr>
        <w:t>因不可抗力、非乙方原因发生的计算机系统故障、网络故障、通讯故障、电力故障等，导致甲方产生损失的，乙方不承担责任。如发生上述情况，乙方将通</w:t>
      </w:r>
      <w:r>
        <w:rPr>
          <w:rFonts w:hint="eastAsia" w:ascii="仿宋" w:hAnsi="仿宋" w:eastAsia="仿宋" w:cs="仿宋"/>
          <w:b/>
          <w:bCs/>
          <w:color w:val="000000"/>
          <w:szCs w:val="21"/>
        </w:rPr>
        <w:t>过约定的信息披露途径及时公告</w:t>
      </w:r>
      <w:r>
        <w:rPr>
          <w:rFonts w:hint="eastAsia" w:ascii="仿宋" w:hAnsi="仿宋" w:eastAsia="仿宋" w:cs="仿宋"/>
          <w:b/>
          <w:color w:val="000000"/>
          <w:szCs w:val="21"/>
        </w:rPr>
        <w:t>。</w:t>
      </w:r>
    </w:p>
    <w:p>
      <w:pPr>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2</w:t>
      </w:r>
      <w:r>
        <w:rPr>
          <w:rFonts w:hint="eastAsia" w:ascii="仿宋" w:hAnsi="仿宋" w:eastAsia="仿宋" w:cs="仿宋"/>
          <w:b/>
          <w:bCs/>
          <w:color w:val="000000"/>
          <w:szCs w:val="21"/>
        </w:rPr>
        <w:t>.</w:t>
      </w:r>
      <w:r>
        <w:rPr>
          <w:rFonts w:hint="eastAsia" w:ascii="仿宋" w:hAnsi="仿宋" w:eastAsia="仿宋" w:cs="仿宋"/>
          <w:b/>
          <w:color w:val="000000"/>
          <w:szCs w:val="21"/>
        </w:rPr>
        <w:t>由于国家的有关法律、法规、规章、政策的改变、紧急措施的出台而导致甲方承担的风险，乙方不承担责任。</w:t>
      </w:r>
    </w:p>
    <w:p>
      <w:pPr>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3</w:t>
      </w:r>
      <w:r>
        <w:rPr>
          <w:rFonts w:hint="eastAsia" w:ascii="仿宋" w:hAnsi="仿宋" w:eastAsia="仿宋" w:cs="仿宋"/>
          <w:b/>
          <w:bCs/>
          <w:color w:val="000000"/>
          <w:szCs w:val="21"/>
        </w:rPr>
        <w:t>.</w:t>
      </w:r>
      <w:r>
        <w:rPr>
          <w:rFonts w:hint="eastAsia" w:ascii="仿宋" w:hAnsi="仿宋" w:eastAsia="仿宋" w:cs="仿宋"/>
          <w:b/>
          <w:color w:val="000000"/>
          <w:szCs w:val="21"/>
        </w:rPr>
        <w:t>由于甲方的原因，理财资金被司法机关等有权部门冻结、扣划，乙方不承担责任。</w:t>
      </w:r>
    </w:p>
    <w:p>
      <w:pPr>
        <w:adjustRightInd w:val="0"/>
        <w:snapToGrid w:val="0"/>
        <w:spacing w:line="360" w:lineRule="auto"/>
        <w:ind w:firstLine="422" w:firstLineChars="200"/>
        <w:outlineLvl w:val="0"/>
        <w:rPr>
          <w:rFonts w:hint="eastAsia" w:ascii="仿宋" w:hAnsi="仿宋" w:eastAsia="仿宋" w:cs="仿宋"/>
          <w:b/>
          <w:bCs/>
          <w:color w:val="000000"/>
          <w:szCs w:val="21"/>
        </w:rPr>
      </w:pPr>
      <w:r>
        <w:rPr>
          <w:rFonts w:hint="eastAsia" w:ascii="仿宋" w:hAnsi="仿宋" w:eastAsia="仿宋" w:cs="仿宋"/>
          <w:b/>
          <w:bCs/>
          <w:color w:val="000000"/>
          <w:szCs w:val="21"/>
        </w:rPr>
        <w:t>六、协议构成和效力</w:t>
      </w:r>
    </w:p>
    <w:p>
      <w:pPr>
        <w:adjustRightInd w:val="0"/>
        <w:snapToGrid w:val="0"/>
        <w:spacing w:line="360" w:lineRule="auto"/>
        <w:ind w:firstLine="420" w:firstLineChars="200"/>
        <w:outlineLvl w:val="0"/>
        <w:rPr>
          <w:rFonts w:hint="eastAsia" w:ascii="仿宋" w:hAnsi="仿宋" w:eastAsia="仿宋" w:cs="仿宋"/>
          <w:color w:val="000000"/>
          <w:szCs w:val="21"/>
        </w:rPr>
      </w:pPr>
      <w:r>
        <w:rPr>
          <w:rFonts w:hint="eastAsia" w:ascii="仿宋" w:hAnsi="仿宋" w:eastAsia="仿宋" w:cs="仿宋"/>
          <w:color w:val="000000"/>
          <w:szCs w:val="21"/>
        </w:rPr>
        <w:t>1.除本协议外，甲方购买具体的理财产品时，还应签署产品说明书、投资协议书、风险揭示书和投资者权益须知。本协议与产品说明书、投资协议书、风险揭示书、投资者权益须知、业务回单、交易凭证等有关法律文件共同构成一份完整且不可分割的理财合同。</w:t>
      </w:r>
    </w:p>
    <w:p>
      <w:pPr>
        <w:adjustRightInd w:val="0"/>
        <w:snapToGrid w:val="0"/>
        <w:spacing w:line="360" w:lineRule="auto"/>
        <w:ind w:firstLine="422" w:firstLineChars="200"/>
        <w:outlineLvl w:val="0"/>
        <w:rPr>
          <w:rFonts w:hint="eastAsia" w:ascii="仿宋" w:hAnsi="仿宋" w:eastAsia="仿宋" w:cs="仿宋"/>
          <w:b/>
          <w:bCs/>
          <w:color w:val="000000"/>
          <w:szCs w:val="21"/>
        </w:rPr>
      </w:pPr>
      <w:r>
        <w:rPr>
          <w:rFonts w:hint="eastAsia" w:ascii="仿宋" w:hAnsi="仿宋" w:eastAsia="仿宋" w:cs="仿宋"/>
          <w:b/>
          <w:bCs/>
          <w:color w:val="000000"/>
          <w:szCs w:val="21"/>
        </w:rPr>
        <w:t>2.有关甲方所购买理财产品的任何介绍、说明、承诺仅以本协议、产品说明书、乙方和代销机构通过约定信息披露途径发布的对应产品信息为准。</w:t>
      </w:r>
    </w:p>
    <w:p>
      <w:pPr>
        <w:adjustRightInd w:val="0"/>
        <w:snapToGrid w:val="0"/>
        <w:spacing w:line="360" w:lineRule="auto"/>
        <w:ind w:firstLine="420" w:firstLineChars="200"/>
        <w:outlineLvl w:val="0"/>
        <w:rPr>
          <w:rFonts w:hint="eastAsia" w:ascii="仿宋" w:hAnsi="仿宋" w:eastAsia="仿宋" w:cs="仿宋"/>
          <w:color w:val="000000"/>
          <w:szCs w:val="21"/>
        </w:rPr>
      </w:pPr>
      <w:r>
        <w:rPr>
          <w:rFonts w:hint="eastAsia" w:ascii="仿宋" w:hAnsi="仿宋" w:eastAsia="仿宋" w:cs="仿宋"/>
          <w:color w:val="000000"/>
          <w:szCs w:val="21"/>
        </w:rPr>
        <w:t>3.本协议持续有效，不因甲方所购买的单期理财产品被赎回、到期或提前终止而失效。</w:t>
      </w:r>
    </w:p>
    <w:p>
      <w:pPr>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七、争议的处理</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因履行本协议书而引致的一切争议，双方应首先本着诚实信用原则通过协商解决。协商不成的，任何一方均可向</w:t>
      </w:r>
      <w:r>
        <w:rPr>
          <w:rFonts w:hint="eastAsia" w:ascii="仿宋" w:hAnsi="仿宋" w:eastAsia="仿宋" w:cs="仿宋"/>
          <w:b/>
          <w:bCs/>
          <w:color w:val="000000"/>
          <w:szCs w:val="21"/>
        </w:rPr>
        <w:t>被告所在地有管辖权的人民法院</w:t>
      </w:r>
      <w:r>
        <w:rPr>
          <w:rFonts w:hint="eastAsia" w:ascii="仿宋" w:hAnsi="仿宋" w:eastAsia="仿宋" w:cs="仿宋"/>
          <w:color w:val="000000"/>
          <w:szCs w:val="21"/>
        </w:rPr>
        <w:t>提起诉讼。</w:t>
      </w:r>
    </w:p>
    <w:p>
      <w:pPr>
        <w:adjustRightInd w:val="0"/>
        <w:snapToGrid w:val="0"/>
        <w:spacing w:line="360" w:lineRule="auto"/>
        <w:ind w:firstLine="422" w:firstLineChars="200"/>
        <w:outlineLvl w:val="0"/>
        <w:rPr>
          <w:rFonts w:hint="eastAsia" w:ascii="仿宋" w:hAnsi="仿宋" w:eastAsia="仿宋" w:cs="仿宋"/>
          <w:b/>
          <w:bCs/>
          <w:color w:val="000000"/>
          <w:szCs w:val="21"/>
        </w:rPr>
      </w:pPr>
      <w:r>
        <w:rPr>
          <w:rFonts w:hint="eastAsia" w:ascii="仿宋" w:hAnsi="仿宋" w:eastAsia="仿宋" w:cs="仿宋"/>
          <w:b/>
          <w:bCs/>
          <w:color w:val="000000"/>
          <w:szCs w:val="21"/>
        </w:rPr>
        <w:t>八、协议生效</w:t>
      </w:r>
    </w:p>
    <w:p>
      <w:pPr>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通过代销机构网点柜面渠道签署本协议的，经甲方本人签字（如为个人投资者）或法定代表人或授权代表签章并加盖甲方公章（如为机构投资者）后且乙方确认甲方成功认/申购并收到甲方缴付的全部投资本金之日起生效。代销机构另有规定的，以代销机构规定为准。</w:t>
      </w:r>
    </w:p>
    <w:p>
      <w:pPr>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通过代销机构电子渠道签署本协议的，自甲方通过代销机构电子渠道确认同意后，且乙方确认甲方成功认/申购并收到甲方缴付的全部投资本金之日起生效。甲方认可线上点击同意具有与书面签署同等的法律效力。</w:t>
      </w:r>
    </w:p>
    <w:p>
      <w:pPr>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甲方知悉并确认，乙方对于理财产品项下甲方认/申购份额的确认即视为乙方对于本协议的签署和认可；甲方不得以乙方不在本协议中签章为由主张本协议不成立或不生效。</w:t>
      </w:r>
    </w:p>
    <w:p>
      <w:pPr>
        <w:adjustRightInd w:val="0"/>
        <w:snapToGrid w:val="0"/>
        <w:spacing w:line="360" w:lineRule="auto"/>
        <w:rPr>
          <w:rFonts w:hint="eastAsia" w:ascii="仿宋" w:hAnsi="仿宋" w:eastAsia="仿宋" w:cs="仿宋"/>
          <w:color w:val="000000"/>
          <w:szCs w:val="21"/>
        </w:rPr>
      </w:pPr>
    </w:p>
    <w:p>
      <w:pPr>
        <w:adjustRightInd w:val="0"/>
        <w:snapToGrid w:val="0"/>
        <w:spacing w:line="360" w:lineRule="auto"/>
        <w:rPr>
          <w:rFonts w:hint="eastAsia" w:ascii="仿宋" w:hAnsi="仿宋" w:eastAsia="仿宋" w:cs="仿宋"/>
          <w:color w:val="000000"/>
          <w:szCs w:val="21"/>
        </w:rPr>
      </w:pPr>
      <w:r>
        <w:rPr>
          <w:rFonts w:hint="eastAsia" w:ascii="仿宋" w:hAnsi="仿宋" w:eastAsia="仿宋" w:cs="仿宋"/>
          <w:color w:val="000000"/>
          <w:szCs w:val="21"/>
        </w:rPr>
        <w:t>甲方：                                           乙方：华夏理财有限责任公司</w:t>
      </w:r>
    </w:p>
    <w:p>
      <w:pPr>
        <w:adjustRightInd w:val="0"/>
        <w:snapToGrid w:val="0"/>
        <w:spacing w:line="360" w:lineRule="auto"/>
        <w:rPr>
          <w:rFonts w:hint="eastAsia" w:ascii="仿宋" w:hAnsi="仿宋" w:eastAsia="仿宋" w:cs="仿宋"/>
          <w:color w:val="000000"/>
          <w:szCs w:val="21"/>
        </w:rPr>
      </w:pPr>
      <w:r>
        <w:rPr>
          <w:rFonts w:hint="eastAsia" w:ascii="仿宋" w:hAnsi="仿宋" w:eastAsia="仿宋" w:cs="仿宋"/>
          <w:color w:val="000000"/>
          <w:szCs w:val="21"/>
        </w:rPr>
        <w:t>投资者自然人（签字或线上确认同意）：</w:t>
      </w:r>
    </w:p>
    <w:p>
      <w:pPr>
        <w:adjustRightInd w:val="0"/>
        <w:snapToGrid w:val="0"/>
        <w:spacing w:line="360" w:lineRule="auto"/>
        <w:rPr>
          <w:rFonts w:hint="eastAsia" w:ascii="仿宋" w:hAnsi="仿宋" w:eastAsia="仿宋" w:cs="仿宋"/>
          <w:color w:val="000000"/>
          <w:szCs w:val="21"/>
        </w:rPr>
      </w:pPr>
      <w:r>
        <w:rPr>
          <w:rFonts w:hint="eastAsia" w:ascii="仿宋" w:hAnsi="仿宋" w:eastAsia="仿宋" w:cs="仿宋"/>
          <w:color w:val="000000"/>
          <w:szCs w:val="21"/>
        </w:rPr>
        <w:t xml:space="preserve">（或）法人或其他组织（盖章或线上确认同意）： </w:t>
      </w:r>
    </w:p>
    <w:p>
      <w:pPr>
        <w:adjustRightInd w:val="0"/>
        <w:snapToGrid w:val="0"/>
        <w:spacing w:line="360" w:lineRule="auto"/>
        <w:rPr>
          <w:rFonts w:hint="eastAsia" w:ascii="仿宋" w:hAnsi="仿宋" w:eastAsia="仿宋" w:cs="仿宋"/>
          <w:color w:val="000000"/>
          <w:szCs w:val="21"/>
        </w:rPr>
      </w:pPr>
      <w:r>
        <w:rPr>
          <w:rFonts w:hint="eastAsia" w:ascii="仿宋" w:hAnsi="仿宋" w:eastAsia="仿宋" w:cs="仿宋"/>
          <w:color w:val="000000"/>
          <w:szCs w:val="21"/>
        </w:rPr>
        <w:t>法定代表人或授权代表（签章或线上确认同意）：</w:t>
      </w:r>
    </w:p>
    <w:p>
      <w:pPr>
        <w:autoSpaceDE/>
        <w:autoSpaceDN/>
        <w:adjustRightInd w:val="0"/>
        <w:snapToGrid w:val="0"/>
        <w:spacing w:line="360" w:lineRule="auto"/>
        <w:ind w:firstLine="420" w:firstLineChars="200"/>
        <w:jc w:val="right"/>
        <w:rPr>
          <w:rFonts w:hint="eastAsia" w:ascii="仿宋" w:hAnsi="仿宋" w:eastAsia="仿宋" w:cs="仿宋"/>
          <w:szCs w:val="21"/>
        </w:rPr>
      </w:pPr>
      <w:r>
        <w:rPr>
          <w:rFonts w:hint="eastAsia" w:ascii="仿宋" w:hAnsi="仿宋" w:eastAsia="仿宋" w:cs="仿宋"/>
          <w:color w:val="000000"/>
          <w:szCs w:val="21"/>
        </w:rPr>
        <w:t>年   月   日</w:t>
      </w:r>
    </w:p>
    <w:sectPr>
      <w:headerReference r:id="rId5" w:type="default"/>
      <w:footerReference r:id="rId6" w:type="default"/>
      <w:pgSz w:w="11906" w:h="16838"/>
      <w:pgMar w:top="964" w:right="1134" w:bottom="964" w:left="1134" w:header="0" w:footer="425"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方正小标宋_GBK">
    <w:panose1 w:val="02000000000000000000"/>
    <w:charset w:val="86"/>
    <w:family w:val="script"/>
    <w:pitch w:val="default"/>
    <w:sig w:usb0="A00002BF" w:usb1="38CF7CFA" w:usb2="00082016" w:usb3="00000000" w:csb0="00040001" w:csb1="00000000"/>
  </w:font>
  <w:font w:name="微软简仿宋">
    <w:panose1 w:val="00000000000000000000"/>
    <w:charset w:val="86"/>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spacing w:line="360" w:lineRule="auto"/>
      <w:rPr>
        <w:b/>
        <w:color w:val="FF0000"/>
        <w:szCs w:val="18"/>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苏晨晓">
    <w15:presenceInfo w15:providerId="None" w15:userId="苏晨晓"/>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420"/>
  <w:hyphenationZone w:val="36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7C37"/>
    <w:rsid w:val="0000491E"/>
    <w:rsid w:val="00030AF6"/>
    <w:rsid w:val="000328C6"/>
    <w:rsid w:val="00070F94"/>
    <w:rsid w:val="00095CD1"/>
    <w:rsid w:val="000F3AE5"/>
    <w:rsid w:val="00102B6D"/>
    <w:rsid w:val="00140742"/>
    <w:rsid w:val="00151B2B"/>
    <w:rsid w:val="001B66A4"/>
    <w:rsid w:val="001C0060"/>
    <w:rsid w:val="00211FC6"/>
    <w:rsid w:val="00214180"/>
    <w:rsid w:val="0025320A"/>
    <w:rsid w:val="00267C37"/>
    <w:rsid w:val="00286098"/>
    <w:rsid w:val="002D5DE3"/>
    <w:rsid w:val="00327A64"/>
    <w:rsid w:val="00347161"/>
    <w:rsid w:val="003C2557"/>
    <w:rsid w:val="003E4CF3"/>
    <w:rsid w:val="00420FD7"/>
    <w:rsid w:val="00484154"/>
    <w:rsid w:val="00491468"/>
    <w:rsid w:val="004C0293"/>
    <w:rsid w:val="004E0D33"/>
    <w:rsid w:val="004F5927"/>
    <w:rsid w:val="004F7997"/>
    <w:rsid w:val="00522B3D"/>
    <w:rsid w:val="005623E4"/>
    <w:rsid w:val="005771FE"/>
    <w:rsid w:val="00581EC5"/>
    <w:rsid w:val="005955B9"/>
    <w:rsid w:val="005E55A9"/>
    <w:rsid w:val="005F4258"/>
    <w:rsid w:val="00633FF4"/>
    <w:rsid w:val="00654D9A"/>
    <w:rsid w:val="006756CA"/>
    <w:rsid w:val="006B6962"/>
    <w:rsid w:val="00730007"/>
    <w:rsid w:val="007359D3"/>
    <w:rsid w:val="00744E2A"/>
    <w:rsid w:val="0076695B"/>
    <w:rsid w:val="007B69FE"/>
    <w:rsid w:val="00823C18"/>
    <w:rsid w:val="00870821"/>
    <w:rsid w:val="00880660"/>
    <w:rsid w:val="008D2ED1"/>
    <w:rsid w:val="009166FF"/>
    <w:rsid w:val="0092078F"/>
    <w:rsid w:val="00947E7A"/>
    <w:rsid w:val="00952709"/>
    <w:rsid w:val="009673E0"/>
    <w:rsid w:val="0097581F"/>
    <w:rsid w:val="009A67D2"/>
    <w:rsid w:val="009C6EBD"/>
    <w:rsid w:val="009E038C"/>
    <w:rsid w:val="009F4DAD"/>
    <w:rsid w:val="00A077A9"/>
    <w:rsid w:val="00A261EE"/>
    <w:rsid w:val="00A62E76"/>
    <w:rsid w:val="00A65C8D"/>
    <w:rsid w:val="00AA2B1C"/>
    <w:rsid w:val="00AA7233"/>
    <w:rsid w:val="00AB5739"/>
    <w:rsid w:val="00AC754B"/>
    <w:rsid w:val="00AD0A44"/>
    <w:rsid w:val="00AD52D4"/>
    <w:rsid w:val="00AD6185"/>
    <w:rsid w:val="00B1551D"/>
    <w:rsid w:val="00B31D95"/>
    <w:rsid w:val="00B536B0"/>
    <w:rsid w:val="00B53B68"/>
    <w:rsid w:val="00B92DDB"/>
    <w:rsid w:val="00B932D3"/>
    <w:rsid w:val="00BF236B"/>
    <w:rsid w:val="00C01EED"/>
    <w:rsid w:val="00C031F5"/>
    <w:rsid w:val="00C06A54"/>
    <w:rsid w:val="00C161E6"/>
    <w:rsid w:val="00C77910"/>
    <w:rsid w:val="00C906ED"/>
    <w:rsid w:val="00CD0225"/>
    <w:rsid w:val="00D101D7"/>
    <w:rsid w:val="00D1403A"/>
    <w:rsid w:val="00D51C0D"/>
    <w:rsid w:val="00D77934"/>
    <w:rsid w:val="00D92508"/>
    <w:rsid w:val="00DB2836"/>
    <w:rsid w:val="00DB5D2D"/>
    <w:rsid w:val="00DE338E"/>
    <w:rsid w:val="00E00EE8"/>
    <w:rsid w:val="00E01CA8"/>
    <w:rsid w:val="00E03189"/>
    <w:rsid w:val="00E62AB2"/>
    <w:rsid w:val="00E96047"/>
    <w:rsid w:val="00EA4204"/>
    <w:rsid w:val="00EC52B2"/>
    <w:rsid w:val="00EE7253"/>
    <w:rsid w:val="00F16832"/>
    <w:rsid w:val="00F21DFD"/>
    <w:rsid w:val="00F40524"/>
    <w:rsid w:val="00F512E1"/>
    <w:rsid w:val="00F65A3B"/>
    <w:rsid w:val="00FA08DB"/>
    <w:rsid w:val="01893391"/>
    <w:rsid w:val="02FE752E"/>
    <w:rsid w:val="03DE7951"/>
    <w:rsid w:val="047E3593"/>
    <w:rsid w:val="07856413"/>
    <w:rsid w:val="08110D0C"/>
    <w:rsid w:val="08634AB6"/>
    <w:rsid w:val="0B560591"/>
    <w:rsid w:val="0CA536EC"/>
    <w:rsid w:val="0DF330CB"/>
    <w:rsid w:val="0F9045C5"/>
    <w:rsid w:val="0FCC3883"/>
    <w:rsid w:val="10343482"/>
    <w:rsid w:val="10923EB0"/>
    <w:rsid w:val="124851F8"/>
    <w:rsid w:val="125C0352"/>
    <w:rsid w:val="13D96576"/>
    <w:rsid w:val="13ED29E4"/>
    <w:rsid w:val="14214CFC"/>
    <w:rsid w:val="14A13EE7"/>
    <w:rsid w:val="14C17206"/>
    <w:rsid w:val="1563777E"/>
    <w:rsid w:val="1674537C"/>
    <w:rsid w:val="16B44101"/>
    <w:rsid w:val="16F329B7"/>
    <w:rsid w:val="17471A69"/>
    <w:rsid w:val="17717D13"/>
    <w:rsid w:val="17985B15"/>
    <w:rsid w:val="17A82770"/>
    <w:rsid w:val="1800179B"/>
    <w:rsid w:val="18BC20DD"/>
    <w:rsid w:val="19C6714B"/>
    <w:rsid w:val="1BFC6ECF"/>
    <w:rsid w:val="1DA249B4"/>
    <w:rsid w:val="1E8C7AF5"/>
    <w:rsid w:val="1F1C75E7"/>
    <w:rsid w:val="1F3B4A10"/>
    <w:rsid w:val="1F986561"/>
    <w:rsid w:val="1FC76361"/>
    <w:rsid w:val="21FE0A53"/>
    <w:rsid w:val="2220390C"/>
    <w:rsid w:val="233F485D"/>
    <w:rsid w:val="237F133E"/>
    <w:rsid w:val="24AD4D8F"/>
    <w:rsid w:val="25721B6A"/>
    <w:rsid w:val="25B5026A"/>
    <w:rsid w:val="25B80B7B"/>
    <w:rsid w:val="2601337A"/>
    <w:rsid w:val="27A26FAD"/>
    <w:rsid w:val="284568ED"/>
    <w:rsid w:val="28744CB2"/>
    <w:rsid w:val="2A8E0E53"/>
    <w:rsid w:val="2AAD7DB1"/>
    <w:rsid w:val="2AE57456"/>
    <w:rsid w:val="2AFF69DA"/>
    <w:rsid w:val="2B3303F1"/>
    <w:rsid w:val="2C2262F5"/>
    <w:rsid w:val="2D213F62"/>
    <w:rsid w:val="2D782A6A"/>
    <w:rsid w:val="2ED167D0"/>
    <w:rsid w:val="2ED848A5"/>
    <w:rsid w:val="31B5567C"/>
    <w:rsid w:val="31BD3F28"/>
    <w:rsid w:val="31F46FC0"/>
    <w:rsid w:val="32265A97"/>
    <w:rsid w:val="32756516"/>
    <w:rsid w:val="336F094B"/>
    <w:rsid w:val="34400112"/>
    <w:rsid w:val="35936983"/>
    <w:rsid w:val="37425D5A"/>
    <w:rsid w:val="37775F44"/>
    <w:rsid w:val="37F45271"/>
    <w:rsid w:val="381E7F2A"/>
    <w:rsid w:val="38925466"/>
    <w:rsid w:val="38CF43FC"/>
    <w:rsid w:val="39896D23"/>
    <w:rsid w:val="3B077069"/>
    <w:rsid w:val="3B1724D8"/>
    <w:rsid w:val="3B5C0497"/>
    <w:rsid w:val="3C313482"/>
    <w:rsid w:val="3CA0578A"/>
    <w:rsid w:val="3CEA5208"/>
    <w:rsid w:val="3E743AAC"/>
    <w:rsid w:val="3EBC0957"/>
    <w:rsid w:val="3F1921D6"/>
    <w:rsid w:val="40011C8E"/>
    <w:rsid w:val="40513468"/>
    <w:rsid w:val="42E51914"/>
    <w:rsid w:val="42F815B8"/>
    <w:rsid w:val="430973C8"/>
    <w:rsid w:val="43FE121A"/>
    <w:rsid w:val="448055CB"/>
    <w:rsid w:val="4583496A"/>
    <w:rsid w:val="45B173DD"/>
    <w:rsid w:val="45D63146"/>
    <w:rsid w:val="463C6590"/>
    <w:rsid w:val="478E15B9"/>
    <w:rsid w:val="47D2000A"/>
    <w:rsid w:val="484E1C90"/>
    <w:rsid w:val="4894520F"/>
    <w:rsid w:val="49CC4070"/>
    <w:rsid w:val="4A4C1515"/>
    <w:rsid w:val="4A8670E7"/>
    <w:rsid w:val="4A8B36BB"/>
    <w:rsid w:val="4B3A57DF"/>
    <w:rsid w:val="4B677A30"/>
    <w:rsid w:val="4D3A74BA"/>
    <w:rsid w:val="4E506F8B"/>
    <w:rsid w:val="4F0B5099"/>
    <w:rsid w:val="4F463F80"/>
    <w:rsid w:val="4F84248A"/>
    <w:rsid w:val="4FA953CE"/>
    <w:rsid w:val="4FB46547"/>
    <w:rsid w:val="4FB8026F"/>
    <w:rsid w:val="4FDE12E4"/>
    <w:rsid w:val="51B51CEE"/>
    <w:rsid w:val="52736386"/>
    <w:rsid w:val="52F15D13"/>
    <w:rsid w:val="535C6D9E"/>
    <w:rsid w:val="53903E31"/>
    <w:rsid w:val="542E1214"/>
    <w:rsid w:val="542E3584"/>
    <w:rsid w:val="544323B5"/>
    <w:rsid w:val="55687CDA"/>
    <w:rsid w:val="557B126F"/>
    <w:rsid w:val="558B0D2F"/>
    <w:rsid w:val="55BC38B4"/>
    <w:rsid w:val="56152EB5"/>
    <w:rsid w:val="56B9029A"/>
    <w:rsid w:val="56C9369B"/>
    <w:rsid w:val="5700696E"/>
    <w:rsid w:val="580D21D0"/>
    <w:rsid w:val="58111B8A"/>
    <w:rsid w:val="59FF6C06"/>
    <w:rsid w:val="5B1B7206"/>
    <w:rsid w:val="5B625192"/>
    <w:rsid w:val="5B65654A"/>
    <w:rsid w:val="5C066D50"/>
    <w:rsid w:val="5F122957"/>
    <w:rsid w:val="5F1A3317"/>
    <w:rsid w:val="5F444C36"/>
    <w:rsid w:val="5F990106"/>
    <w:rsid w:val="5FC16E2D"/>
    <w:rsid w:val="5FDC6F14"/>
    <w:rsid w:val="60062A05"/>
    <w:rsid w:val="602D2405"/>
    <w:rsid w:val="60385704"/>
    <w:rsid w:val="60C76E56"/>
    <w:rsid w:val="614F7826"/>
    <w:rsid w:val="629264FC"/>
    <w:rsid w:val="64D77000"/>
    <w:rsid w:val="64FF58AC"/>
    <w:rsid w:val="659A1A6C"/>
    <w:rsid w:val="67897939"/>
    <w:rsid w:val="678B7FB4"/>
    <w:rsid w:val="69EE0A7F"/>
    <w:rsid w:val="6A740B44"/>
    <w:rsid w:val="6A7503AE"/>
    <w:rsid w:val="6BE84E2A"/>
    <w:rsid w:val="6C697ADA"/>
    <w:rsid w:val="6CCD0E47"/>
    <w:rsid w:val="6D711FE3"/>
    <w:rsid w:val="6D76761C"/>
    <w:rsid w:val="6DA3525A"/>
    <w:rsid w:val="6DB2651F"/>
    <w:rsid w:val="6E0457C0"/>
    <w:rsid w:val="6E354AE0"/>
    <w:rsid w:val="6E8150EC"/>
    <w:rsid w:val="6EF86C3D"/>
    <w:rsid w:val="703F75F8"/>
    <w:rsid w:val="706F55DD"/>
    <w:rsid w:val="709A6183"/>
    <w:rsid w:val="7261339F"/>
    <w:rsid w:val="73371BCE"/>
    <w:rsid w:val="73E32AD7"/>
    <w:rsid w:val="741C3776"/>
    <w:rsid w:val="7456598F"/>
    <w:rsid w:val="74963C6B"/>
    <w:rsid w:val="74AB059A"/>
    <w:rsid w:val="763F7A45"/>
    <w:rsid w:val="78143172"/>
    <w:rsid w:val="782B39EB"/>
    <w:rsid w:val="78E87FB8"/>
    <w:rsid w:val="79021DB8"/>
    <w:rsid w:val="79C21F97"/>
    <w:rsid w:val="79C4073C"/>
    <w:rsid w:val="79C64D84"/>
    <w:rsid w:val="7A1F63D0"/>
    <w:rsid w:val="7A451D15"/>
    <w:rsid w:val="7B4C1091"/>
    <w:rsid w:val="7BFC7C8C"/>
    <w:rsid w:val="7C560CF6"/>
    <w:rsid w:val="7CCB6B01"/>
    <w:rsid w:val="7D2B70D3"/>
    <w:rsid w:val="7D4C0330"/>
    <w:rsid w:val="7D5A17A0"/>
    <w:rsid w:val="7D6D0E25"/>
    <w:rsid w:val="7DDB5570"/>
    <w:rsid w:val="7E6500BF"/>
    <w:rsid w:val="7F37B6F0"/>
    <w:rsid w:val="7F756813"/>
    <w:rsid w:val="7F795D11"/>
    <w:rsid w:val="7FE04167"/>
    <w:rsid w:val="EDD70891"/>
    <w:rsid w:val="FC9F3745"/>
    <w:rsid w:val="FFDF4EE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jc w:val="both"/>
    </w:pPr>
    <w:rPr>
      <w:kern w:val="2"/>
      <w:sz w:val="21"/>
      <w:szCs w:val="24"/>
      <w:lang w:val="en-US" w:eastAsia="zh-CN" w:bidi="ar-SA"/>
    </w:rPr>
  </w:style>
  <w:style w:type="character" w:default="1" w:styleId="10">
    <w:name w:val="Default Paragraph Font"/>
    <w:link w:val="11"/>
    <w:semiHidden/>
    <w:uiPriority w:val="0"/>
  </w:style>
  <w:style w:type="table" w:default="1" w:styleId="8">
    <w:name w:val="Normal Table"/>
    <w:semiHidden/>
    <w:qFormat/>
    <w:uiPriority w:val="0"/>
    <w:tblPr>
      <w:tblStyle w:val="8"/>
      <w:tblCellMar>
        <w:top w:w="0" w:type="dxa"/>
        <w:left w:w="108" w:type="dxa"/>
        <w:bottom w:w="0" w:type="dxa"/>
        <w:right w:w="108" w:type="dxa"/>
      </w:tblCellMar>
    </w:tblPr>
  </w:style>
  <w:style w:type="paragraph" w:styleId="2">
    <w:name w:val="annotation text"/>
    <w:basedOn w:val="1"/>
    <w:link w:val="14"/>
    <w:uiPriority w:val="0"/>
    <w:pPr>
      <w:jc w:val="left"/>
    </w:pPr>
  </w:style>
  <w:style w:type="paragraph" w:styleId="3">
    <w:name w:val="Body Text Indent"/>
    <w:basedOn w:val="1"/>
    <w:unhideWhenUsed/>
    <w:qFormat/>
    <w:uiPriority w:val="0"/>
    <w:pPr>
      <w:ind w:firstLine="630"/>
    </w:pPr>
    <w:rPr>
      <w:kern w:val="0"/>
      <w:sz w:val="24"/>
    </w:rPr>
  </w:style>
  <w:style w:type="paragraph" w:styleId="4">
    <w:name w:val="Balloon Text"/>
    <w:basedOn w:val="1"/>
    <w:semiHidden/>
    <w:uiPriority w:val="0"/>
    <w:rPr>
      <w:sz w:val="18"/>
      <w:szCs w:val="18"/>
    </w:rPr>
  </w:style>
  <w:style w:type="paragraph" w:styleId="5">
    <w:name w:val="footer"/>
    <w:basedOn w:val="1"/>
    <w:qFormat/>
    <w:uiPriority w:val="0"/>
    <w:pPr>
      <w:tabs>
        <w:tab w:val="center" w:pos="4153"/>
        <w:tab w:val="right" w:pos="8306"/>
      </w:tabs>
      <w:snapToGrid w:val="0"/>
      <w:spacing w:line="240" w:lineRule="atLeast"/>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20"/>
    </w:rPr>
  </w:style>
  <w:style w:type="paragraph" w:styleId="7">
    <w:name w:val="annotation subject"/>
    <w:basedOn w:val="2"/>
    <w:next w:val="2"/>
    <w:link w:val="16"/>
    <w:qFormat/>
    <w:uiPriority w:val="0"/>
    <w:rPr>
      <w:b/>
      <w:bCs/>
    </w:rPr>
  </w:style>
  <w:style w:type="table" w:styleId="9">
    <w:name w:val="Table Grid"/>
    <w:basedOn w:val="8"/>
    <w:qFormat/>
    <w:uiPriority w:val="0"/>
    <w:pPr>
      <w:widowControl w:val="0"/>
      <w:jc w:val="both"/>
    </w:pPr>
    <w:tblPr>
      <w:tblStyle w:val="8"/>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Char Char Char Char Char Char Char Char Char Char Char Char"/>
    <w:basedOn w:val="1"/>
    <w:link w:val="10"/>
    <w:qFormat/>
    <w:uiPriority w:val="0"/>
    <w:pPr>
      <w:widowControl/>
      <w:spacing w:after="160" w:line="240" w:lineRule="exact"/>
      <w:jc w:val="left"/>
    </w:pPr>
    <w:rPr>
      <w:rFonts w:ascii="Tahoma" w:hAnsi="Tahoma" w:cs="Tahoma"/>
      <w:szCs w:val="21"/>
    </w:rPr>
  </w:style>
  <w:style w:type="character" w:styleId="12">
    <w:name w:val="Hyperlink"/>
    <w:unhideWhenUsed/>
    <w:qFormat/>
    <w:uiPriority w:val="99"/>
    <w:rPr>
      <w:color w:val="0000FF"/>
      <w:u w:val="single"/>
    </w:rPr>
  </w:style>
  <w:style w:type="character" w:styleId="13">
    <w:name w:val="annotation reference"/>
    <w:qFormat/>
    <w:uiPriority w:val="0"/>
    <w:rPr>
      <w:sz w:val="21"/>
      <w:szCs w:val="21"/>
    </w:rPr>
  </w:style>
  <w:style w:type="character" w:customStyle="1" w:styleId="14">
    <w:name w:val="批注文字 字符"/>
    <w:link w:val="2"/>
    <w:qFormat/>
    <w:uiPriority w:val="0"/>
    <w:rPr>
      <w:kern w:val="2"/>
      <w:sz w:val="21"/>
      <w:szCs w:val="24"/>
    </w:rPr>
  </w:style>
  <w:style w:type="character" w:customStyle="1" w:styleId="15">
    <w:name w:val="页眉 字符"/>
    <w:link w:val="6"/>
    <w:qFormat/>
    <w:uiPriority w:val="99"/>
    <w:rPr>
      <w:kern w:val="2"/>
      <w:sz w:val="18"/>
    </w:rPr>
  </w:style>
  <w:style w:type="character" w:customStyle="1" w:styleId="16">
    <w:name w:val="批注主题 字符"/>
    <w:link w:val="7"/>
    <w:qFormat/>
    <w:uiPriority w:val="0"/>
    <w:rPr>
      <w:b/>
      <w:bCs/>
      <w:kern w:val="2"/>
      <w:sz w:val="21"/>
      <w:szCs w:val="24"/>
    </w:rPr>
  </w:style>
  <w:style w:type="character" w:customStyle="1" w:styleId="17">
    <w:name w:val="grame"/>
    <w:qFormat/>
    <w:uiPriority w:val="0"/>
  </w:style>
  <w:style w:type="paragraph" w:customStyle="1" w:styleId="18">
    <w:name w:val="default"/>
    <w:basedOn w:val="1"/>
    <w:qFormat/>
    <w:uiPriority w:val="0"/>
    <w:pPr>
      <w:widowControl/>
      <w:spacing w:before="100" w:beforeAutospacing="1" w:after="100" w:afterAutospacing="1" w:line="240" w:lineRule="auto"/>
      <w:jc w:val="left"/>
    </w:pPr>
    <w:rPr>
      <w:rFonts w:ascii="宋体" w:hAnsi="宋体" w:cs="宋体"/>
      <w:kern w:val="0"/>
      <w:sz w:val="24"/>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people.xml" Type="http://schemas.microsoft.com/office/2011/relationships/people"/><Relationship Id="rId2" Target="settings.xml" Type="http://schemas.openxmlformats.org/officeDocument/2006/relationships/settings"/><Relationship Id="rId3" Target="footnotes.xml" Type="http://schemas.openxmlformats.org/officeDocument/2006/relationships/footnotes"/><Relationship Id="rId4" Target="endnotes.xml" Type="http://schemas.openxmlformats.org/officeDocument/2006/relationships/endnotes"/><Relationship Id="rId5" Target="header1.xml" Type="http://schemas.openxmlformats.org/officeDocument/2006/relationships/header"/><Relationship Id="rId6" Target="footer1.xml" Type="http://schemas.openxmlformats.org/officeDocument/2006/relationships/footer"/><Relationship Id="rId7" Target="theme/theme1.xml" Type="http://schemas.openxmlformats.org/officeDocument/2006/relationships/theme"/><Relationship Id="rId8" Target="media/image1.png" Type="http://schemas.openxmlformats.org/officeDocument/2006/relationships/image"/><Relationship Id="rId9" Target="fontTable.xml" Type="http://schemas.openxmlformats.org/officeDocument/2006/relationships/fontTable"/></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华夏银行总行</Company>
  <Pages>8</Pages>
  <Words>1174</Words>
  <Characters>6694</Characters>
  <Lines>55</Lines>
  <Paragraphs>15</Paragraphs>
  <TotalTime>1</TotalTime>
  <ScaleCrop>false</ScaleCrop>
  <LinksUpToDate>false</LinksUpToDate>
  <CharactersWithSpaces>7853</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2020-11-06T07:31:00Z</dcterms:created>
  <dc:creator>ylh</dc:creator>
  <cp:lastModifiedBy>lczgs</cp:lastModifiedBy>
  <dcterms:modified xsi:type="dcterms:W3CDTF">2026-02-03T10:20:18Z</dcterms:modified>
  <dc:title>本产品由华夏理财有限责任公司发行与管理，销售机构不承担产品的投资、兑付和风险管理责任</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F3FF583E245942B1BCFF096DADD1513F</vt:lpwstr>
  </property>
</Properties>
</file>