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people+xml" PartName="/word/peop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b/>
          <w:sz w:val="32"/>
          <w:szCs w:val="21"/>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_GBK" w:hAnsi="方正小标宋_GBK" w:eastAsia="方正小标宋_GBK" w:cs="方正小标宋_GBK"/>
          <w:b w:val="0"/>
          <w:bCs/>
          <w:sz w:val="32"/>
          <w:szCs w:val="21"/>
        </w:rPr>
      </w:pPr>
      <w:r>
        <w:rPr>
          <w:rFonts w:hint="eastAsia" w:ascii="方正小标宋_GBK" w:hAnsi="方正小标宋_GBK" w:eastAsia="方正小标宋_GBK" w:cs="方正小标宋_GBK"/>
          <w:b w:val="0"/>
          <w:bCs/>
          <w:sz w:val="32"/>
          <w:szCs w:val="21"/>
        </w:rPr>
        <w:t>华夏理财有限责任公司理财产品销售协议书</w:t>
      </w:r>
    </w:p>
    <w:p>
      <w:pPr>
        <w:adjustRightInd w:val="0"/>
        <w:snapToGrid w:val="0"/>
        <w:ind w:left="0" w:leftChars="0" w:right="0" w:rightChars="0" w:firstLine="0" w:firstLineChars="0"/>
        <w:jc w:val="center"/>
        <w:rPr>
          <w:rFonts w:hint="eastAsia" w:ascii="仿宋" w:hAnsi="仿宋" w:eastAsia="仿宋" w:cs="仿宋"/>
          <w:b/>
          <w:sz w:val="21"/>
          <w:szCs w:val="21"/>
        </w:rPr>
      </w:pPr>
    </w:p>
    <w:p>
      <w:pPr>
        <w:adjustRightInd w:val="0"/>
        <w:snapToGrid w:val="0"/>
        <w:ind w:firstLine="422" w:firstLineChars="200"/>
        <w:rPr>
          <w:rFonts w:hint="eastAsia" w:ascii="仿宋" w:hAnsi="仿宋" w:eastAsia="仿宋" w:cs="仿宋"/>
          <w:b/>
          <w:sz w:val="21"/>
          <w:szCs w:val="21"/>
          <w:u w:val="single"/>
        </w:rPr>
      </w:pPr>
      <w:r>
        <w:rPr>
          <w:rFonts w:hint="eastAsia" w:ascii="仿宋" w:hAnsi="仿宋" w:eastAsia="仿宋" w:cs="仿宋"/>
          <w:b/>
          <w:sz w:val="21"/>
          <w:szCs w:val="21"/>
        </w:rPr>
        <w:t>本协议适用于</w:t>
      </w:r>
      <w:r>
        <w:rPr>
          <w:rFonts w:hint="eastAsia" w:ascii="仿宋" w:hAnsi="仿宋" w:eastAsia="仿宋" w:cs="仿宋"/>
          <w:b/>
          <w:sz w:val="21"/>
          <w:szCs w:val="21"/>
          <w:u w:val="single"/>
        </w:rPr>
        <w:t xml:space="preserve"> </w:t>
      </w:r>
      <w:r>
        <w:rPr>
          <w:rFonts w:hint="eastAsia" w:ascii="微软简仿宋" w:hAnsi="宋体" w:eastAsia="微软简仿宋"/>
          <w:b/>
          <w:szCs w:val="21"/>
          <w:u w:val="single"/>
        </w:rPr>
        <w:t>厦门银行股份有限公司</w:t>
      </w:r>
      <w:r>
        <w:rPr>
          <w:rFonts w:hint="eastAsia" w:ascii="仿宋" w:hAnsi="仿宋" w:eastAsia="仿宋" w:cs="仿宋"/>
          <w:b/>
          <w:sz w:val="21"/>
          <w:szCs w:val="21"/>
          <w:u w:val="single"/>
        </w:rPr>
        <w:t xml:space="preserve"> 代理销售华夏理财有限责任公司发行的理财产品。</w:t>
      </w:r>
    </w:p>
    <w:p>
      <w:pPr>
        <w:adjustRightInd w:val="0"/>
        <w:snapToGrid w:val="0"/>
        <w:ind w:firstLine="422" w:firstLineChars="200"/>
        <w:rPr>
          <w:rFonts w:hint="eastAsia" w:ascii="仿宋" w:hAnsi="仿宋" w:eastAsia="仿宋" w:cs="仿宋"/>
          <w:b/>
          <w:sz w:val="21"/>
          <w:szCs w:val="21"/>
          <w:u w:val="single"/>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rPr>
      </w:pPr>
      <w:r>
        <w:rPr>
          <w:rFonts w:hint="eastAsia" w:ascii="仿宋" w:hAnsi="仿宋" w:eastAsia="仿宋" w:cs="仿宋"/>
          <w:b/>
          <w:sz w:val="21"/>
          <w:szCs w:val="21"/>
        </w:rPr>
        <w:t>重要提示</w:t>
      </w:r>
    </w:p>
    <w:p>
      <w:pPr>
        <w:adjustRightInd w:val="0"/>
        <w:snapToGrid w:val="0"/>
        <w:ind w:firstLine="422" w:firstLineChars="200"/>
        <w:jc w:val="both"/>
        <w:rPr>
          <w:rFonts w:hint="eastAsia" w:ascii="仿宋" w:hAnsi="仿宋" w:eastAsia="仿宋" w:cs="仿宋"/>
          <w:sz w:val="21"/>
          <w:szCs w:val="21"/>
        </w:rPr>
      </w:pPr>
      <w:r>
        <w:rPr>
          <w:rFonts w:hint="eastAsia" w:ascii="仿宋" w:hAnsi="仿宋" w:eastAsia="仿宋" w:cs="仿宋"/>
          <w:b/>
          <w:sz w:val="21"/>
          <w:szCs w:val="21"/>
        </w:rPr>
        <w:t>尊敬的客户：为了维护</w:t>
      </w:r>
      <w:r>
        <w:rPr>
          <w:rFonts w:hint="eastAsia" w:ascii="仿宋" w:hAnsi="仿宋" w:eastAsia="仿宋" w:cs="仿宋"/>
          <w:b/>
          <w:sz w:val="21"/>
          <w:szCs w:val="21"/>
          <w:lang w:val="en-US" w:eastAsia="zh-CN"/>
        </w:rPr>
        <w:t>您/</w:t>
      </w:r>
      <w:r>
        <w:rPr>
          <w:rFonts w:hint="eastAsia" w:ascii="仿宋" w:hAnsi="仿宋" w:eastAsia="仿宋" w:cs="仿宋"/>
          <w:b/>
          <w:sz w:val="21"/>
          <w:szCs w:val="21"/>
        </w:rPr>
        <w:t>贵司的权益，请在签署本协议前，仔细阅读本协议各条款（特别是含有黑体文字的条款），充分了解华夏理财有限责任公司理财业务运作规则。如</w:t>
      </w:r>
      <w:r>
        <w:rPr>
          <w:rFonts w:hint="eastAsia" w:ascii="仿宋" w:hAnsi="仿宋" w:eastAsia="仿宋" w:cs="仿宋"/>
          <w:b/>
          <w:sz w:val="21"/>
          <w:szCs w:val="21"/>
          <w:lang w:val="en-US" w:eastAsia="zh-CN"/>
        </w:rPr>
        <w:t>您/</w:t>
      </w:r>
      <w:r>
        <w:rPr>
          <w:rFonts w:hint="eastAsia" w:ascii="仿宋" w:hAnsi="仿宋" w:eastAsia="仿宋" w:cs="仿宋"/>
          <w:b/>
          <w:sz w:val="21"/>
          <w:szCs w:val="21"/>
        </w:rPr>
        <w:t>贵司有疑问或不明之处，请向代销机构或华夏理财有限责任公司咨询，或者咨询</w:t>
      </w:r>
      <w:r>
        <w:rPr>
          <w:rFonts w:hint="eastAsia" w:ascii="仿宋" w:hAnsi="仿宋" w:eastAsia="仿宋" w:cs="仿宋"/>
          <w:b/>
          <w:sz w:val="21"/>
          <w:szCs w:val="21"/>
          <w:lang w:val="en-US" w:eastAsia="zh-CN"/>
        </w:rPr>
        <w:t>您/</w:t>
      </w:r>
      <w:r>
        <w:rPr>
          <w:rFonts w:hint="eastAsia" w:ascii="仿宋" w:hAnsi="仿宋" w:eastAsia="仿宋" w:cs="仿宋"/>
          <w:b/>
          <w:sz w:val="21"/>
          <w:szCs w:val="21"/>
        </w:rPr>
        <w:t>贵司</w:t>
      </w:r>
      <w:r>
        <w:rPr>
          <w:rFonts w:hint="eastAsia" w:ascii="仿宋" w:hAnsi="仿宋" w:eastAsia="仿宋" w:cs="仿宋"/>
          <w:b/>
          <w:sz w:val="21"/>
          <w:szCs w:val="21"/>
          <w:lang w:val="en-US" w:eastAsia="zh-CN"/>
        </w:rPr>
        <w:t>的</w:t>
      </w:r>
      <w:r>
        <w:rPr>
          <w:rFonts w:hint="eastAsia" w:ascii="仿宋" w:hAnsi="仿宋" w:eastAsia="仿宋" w:cs="仿宋"/>
          <w:b/>
          <w:sz w:val="21"/>
          <w:szCs w:val="21"/>
        </w:rPr>
        <w:t>律师和有关专业人士。如需业务咨询和投诉，请拨打□</w:t>
      </w:r>
      <w:r>
        <w:rPr>
          <w:rFonts w:hint="eastAsia" w:ascii="仿宋" w:hAnsi="仿宋" w:eastAsia="仿宋" w:cs="仿宋"/>
          <w:b/>
          <w:sz w:val="21"/>
          <w:szCs w:val="21"/>
          <w:lang w:val="en-US" w:eastAsia="zh-CN"/>
        </w:rPr>
        <w:t>华夏理财客户服务热线（4001795577）</w:t>
      </w:r>
      <w:r>
        <w:rPr>
          <w:rFonts w:hint="eastAsia" w:ascii="仿宋" w:hAnsi="仿宋" w:eastAsia="仿宋" w:cs="仿宋"/>
          <w:b/>
          <w:sz w:val="21"/>
          <w:szCs w:val="21"/>
        </w:rPr>
        <w:t>、□或</w:t>
      </w:r>
      <w:r>
        <w:rPr>
          <w:rFonts w:hint="eastAsia" w:ascii="仿宋" w:hAnsi="仿宋" w:eastAsia="仿宋" w:cs="仿宋"/>
          <w:color w:val="000000"/>
          <w:sz w:val="21"/>
          <w:szCs w:val="21"/>
          <w:u w:val="single"/>
        </w:rPr>
        <w:t>　</w:t>
      </w:r>
      <w:r>
        <w:rPr>
          <w:rFonts w:hint="eastAsia" w:ascii="微软简仿宋" w:hAnsi="宋体" w:eastAsia="微软简仿宋"/>
          <w:b/>
          <w:szCs w:val="21"/>
          <w:u w:val="single"/>
        </w:rPr>
        <w:t>厦门银行股份有限公司</w:t>
      </w:r>
      <w:r>
        <w:rPr>
          <w:rFonts w:hint="eastAsia" w:ascii="仿宋" w:hAnsi="仿宋" w:eastAsia="仿宋" w:cs="仿宋"/>
          <w:color w:val="000000"/>
          <w:sz w:val="21"/>
          <w:szCs w:val="21"/>
          <w:u w:val="single"/>
        </w:rPr>
        <w:t xml:space="preserve">   </w:t>
      </w:r>
      <w:r>
        <w:rPr>
          <w:rFonts w:hint="eastAsia" w:ascii="仿宋" w:hAnsi="仿宋" w:eastAsia="仿宋" w:cs="仿宋"/>
          <w:b/>
          <w:sz w:val="21"/>
          <w:szCs w:val="21"/>
        </w:rPr>
        <w:t>代销机构客户服务热线。</w:t>
      </w:r>
    </w:p>
    <w:p>
      <w:pPr>
        <w:adjustRightInd w:val="0"/>
        <w:snapToGrid w:val="0"/>
        <w:ind w:firstLine="420" w:firstLineChars="200"/>
        <w:jc w:val="both"/>
        <w:rPr>
          <w:rFonts w:hint="eastAsia" w:ascii="仿宋" w:hAnsi="仿宋" w:eastAsia="仿宋" w:cs="仿宋"/>
          <w:color w:val="000000"/>
          <w:sz w:val="21"/>
          <w:szCs w:val="21"/>
        </w:rPr>
      </w:pPr>
      <w:r>
        <w:rPr>
          <w:rFonts w:hint="eastAsia" w:ascii="仿宋" w:hAnsi="仿宋" w:eastAsia="仿宋" w:cs="仿宋"/>
          <w:color w:val="000000"/>
          <w:sz w:val="21"/>
          <w:szCs w:val="21"/>
        </w:rPr>
        <w:t>提请</w:t>
      </w:r>
      <w:r>
        <w:rPr>
          <w:rFonts w:hint="eastAsia" w:ascii="仿宋" w:hAnsi="仿宋" w:eastAsia="仿宋" w:cs="仿宋"/>
          <w:color w:val="000000"/>
          <w:sz w:val="21"/>
          <w:szCs w:val="21"/>
          <w:lang w:val="en-US" w:eastAsia="zh-CN"/>
        </w:rPr>
        <w:t>您/</w:t>
      </w:r>
      <w:r>
        <w:rPr>
          <w:rFonts w:hint="eastAsia" w:ascii="仿宋" w:hAnsi="仿宋" w:eastAsia="仿宋" w:cs="仿宋"/>
          <w:color w:val="000000"/>
          <w:sz w:val="21"/>
          <w:szCs w:val="21"/>
        </w:rPr>
        <w:t>贵司在购买理财产品前特别注意以下事项：</w:t>
      </w:r>
    </w:p>
    <w:p>
      <w:pPr>
        <w:adjustRightInd w:val="0"/>
        <w:snapToGrid w:val="0"/>
        <w:ind w:firstLine="422" w:firstLineChars="200"/>
        <w:jc w:val="both"/>
        <w:rPr>
          <w:rFonts w:hint="eastAsia" w:ascii="仿宋" w:hAnsi="仿宋" w:eastAsia="仿宋" w:cs="仿宋"/>
          <w:b/>
          <w:color w:val="000000"/>
          <w:sz w:val="21"/>
          <w:szCs w:val="21"/>
        </w:rPr>
      </w:pPr>
      <w:r>
        <w:rPr>
          <w:rFonts w:hint="eastAsia" w:ascii="仿宋" w:hAnsi="仿宋" w:eastAsia="仿宋" w:cs="仿宋"/>
          <w:b/>
          <w:color w:val="000000"/>
          <w:sz w:val="21"/>
          <w:szCs w:val="21"/>
        </w:rPr>
        <w:t>1</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pPr>
        <w:adjustRightInd w:val="0"/>
        <w:snapToGrid w:val="0"/>
        <w:ind w:firstLine="422" w:firstLineChars="200"/>
        <w:jc w:val="both"/>
        <w:rPr>
          <w:rFonts w:hint="eastAsia" w:ascii="仿宋" w:hAnsi="仿宋" w:eastAsia="仿宋" w:cs="仿宋"/>
          <w:b/>
          <w:sz w:val="21"/>
          <w:szCs w:val="21"/>
        </w:rPr>
      </w:pPr>
      <w:r>
        <w:rPr>
          <w:rFonts w:hint="eastAsia" w:ascii="仿宋" w:hAnsi="仿宋" w:eastAsia="仿宋" w:cs="仿宋"/>
          <w:b/>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本协议书中的任何业绩比较基准、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和代销机构对理财产品本金和收益的任何承诺或保证。风险等级或结构相同的同类理财产品既往的业绩并不代表甲方可预期的收益。</w:t>
      </w:r>
    </w:p>
    <w:p>
      <w:pPr>
        <w:adjustRightInd w:val="0"/>
        <w:snapToGrid w:val="0"/>
        <w:ind w:firstLine="422" w:firstLineChars="200"/>
        <w:jc w:val="both"/>
        <w:rPr>
          <w:rFonts w:hint="eastAsia" w:ascii="仿宋" w:hAnsi="仿宋" w:eastAsia="仿宋" w:cs="仿宋"/>
          <w:b/>
          <w:color w:val="000000"/>
          <w:sz w:val="21"/>
          <w:szCs w:val="21"/>
        </w:rPr>
      </w:pPr>
      <w:r>
        <w:rPr>
          <w:rFonts w:hint="eastAsia" w:ascii="仿宋" w:hAnsi="仿宋" w:eastAsia="仿宋" w:cs="仿宋"/>
          <w:b/>
          <w:color w:val="000000"/>
          <w:sz w:val="21"/>
          <w:szCs w:val="21"/>
        </w:rPr>
        <w:t>3</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本协议与理财产品说明书、理财产品投资协议书、风险揭示书、投资者权益须知、代理销售协议书</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rPr>
        <w:t>如有</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rPr>
        <w:t>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理财产品投资协议书等相关文件约定为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8522" w:type="dxa"/>
            <w:gridSpan w:val="2"/>
            <w:noWrap w:val="0"/>
            <w:vAlign w:val="center"/>
          </w:tcPr>
          <w:p>
            <w:pPr>
              <w:adjustRightInd w:val="0"/>
              <w:snapToGrid w:val="0"/>
              <w:ind w:left="0" w:leftChars="0" w:right="0" w:rightChars="0" w:firstLine="0" w:firstLineChars="0"/>
              <w:jc w:val="center"/>
              <w:rPr>
                <w:rFonts w:hint="eastAsia" w:ascii="仿宋" w:hAnsi="仿宋" w:eastAsia="仿宋" w:cs="仿宋"/>
                <w:b/>
                <w:sz w:val="21"/>
                <w:szCs w:val="21"/>
                <w:vertAlign w:val="baseline"/>
                <w:lang w:val="en-US" w:eastAsia="zh-CN"/>
              </w:rPr>
            </w:pPr>
            <w:r>
              <w:rPr>
                <w:rFonts w:hint="eastAsia" w:ascii="仿宋" w:hAnsi="仿宋" w:eastAsia="仿宋" w:cs="仿宋"/>
                <w:b w:val="0"/>
                <w:bCs/>
                <w:sz w:val="21"/>
                <w:szCs w:val="21"/>
                <w:vertAlign w:val="baseline"/>
                <w:lang w:val="en-US" w:eastAsia="zh-CN"/>
              </w:rPr>
              <w:t>适用于机构投资者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0" w:hRule="atLeast"/>
        </w:trPr>
        <w:tc>
          <w:tcPr>
            <w:tcW w:w="4261" w:type="dxa"/>
            <w:noWrap w:val="0"/>
            <w:vAlign w:val="top"/>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甲方： </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法定代表人： </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联系人： </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电话：</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传真：</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通讯地址：  </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b/>
                <w:sz w:val="21"/>
                <w:szCs w:val="21"/>
                <w:vertAlign w:val="baseline"/>
              </w:rPr>
            </w:pPr>
            <w:r>
              <w:rPr>
                <w:rFonts w:hint="eastAsia" w:ascii="仿宋" w:hAnsi="仿宋" w:eastAsia="仿宋" w:cs="仿宋"/>
                <w:sz w:val="21"/>
                <w:szCs w:val="21"/>
              </w:rPr>
              <w:t>邮编：</w:t>
            </w:r>
          </w:p>
        </w:tc>
        <w:tc>
          <w:tcPr>
            <w:tcW w:w="4261" w:type="dxa"/>
            <w:noWrap w:val="0"/>
            <w:vAlign w:val="top"/>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乙方： 华夏银行理财有限责任公司</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法定代表人：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地址：</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邮编：</w:t>
            </w:r>
          </w:p>
          <w:p>
            <w:pPr>
              <w:adjustRightInd w:val="0"/>
              <w:snapToGrid w:val="0"/>
              <w:rPr>
                <w:rFonts w:hint="eastAsia" w:ascii="仿宋" w:hAnsi="仿宋" w:eastAsia="仿宋" w:cs="仿宋"/>
                <w:b/>
                <w:sz w:val="21"/>
                <w:szCs w:val="21"/>
                <w:vertAlign w:val="baseline"/>
              </w:rPr>
            </w:pPr>
          </w:p>
        </w:tc>
      </w:tr>
    </w:tbl>
    <w:p>
      <w:pPr>
        <w:adjustRightInd w:val="0"/>
        <w:snapToGrid w:val="0"/>
        <w:ind w:firstLine="420" w:firstLineChars="200"/>
        <w:jc w:val="left"/>
        <w:rPr>
          <w:rFonts w:hint="eastAsia" w:ascii="仿宋" w:hAnsi="仿宋" w:eastAsia="仿宋" w:cs="仿宋"/>
          <w:sz w:val="21"/>
          <w:szCs w:val="21"/>
        </w:rPr>
      </w:pPr>
    </w:p>
    <w:p>
      <w:pPr>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本协议项下代销机构：</w:t>
      </w:r>
      <w:r>
        <w:rPr>
          <w:rFonts w:hint="eastAsia" w:ascii="微软简仿宋" w:hAnsi="宋体" w:eastAsia="微软简仿宋"/>
          <w:b/>
          <w:szCs w:val="21"/>
          <w:u w:val="single"/>
        </w:rPr>
        <w:t>厦门银行股份有限公司</w:t>
      </w:r>
    </w:p>
    <w:p>
      <w:pPr>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法定代表人：</w:t>
      </w:r>
      <w:r>
        <w:rPr>
          <w:rFonts w:hint="eastAsia" w:ascii="微软简仿宋" w:hAnsi="宋体" w:eastAsia="微软简仿宋"/>
          <w:b/>
          <w:szCs w:val="21"/>
          <w:u w:val="single"/>
        </w:rPr>
        <w:t>姚志平</w:t>
      </w:r>
    </w:p>
    <w:p>
      <w:pPr>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地址：</w:t>
      </w:r>
      <w:r>
        <w:rPr>
          <w:rFonts w:hint="eastAsia" w:ascii="微软简仿宋" w:hAnsi="宋体" w:eastAsia="微软简仿宋"/>
          <w:b/>
          <w:szCs w:val="21"/>
          <w:u w:val="single"/>
        </w:rPr>
        <w:t>厦门市思明区湖滨北路101号商业银行大厦</w:t>
      </w:r>
    </w:p>
    <w:p>
      <w:pPr>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邮编：</w:t>
      </w:r>
      <w:r>
        <w:rPr>
          <w:rFonts w:hint="eastAsia" w:ascii="微软简仿宋" w:hAnsi="宋体" w:eastAsia="微软简仿宋"/>
          <w:b/>
          <w:szCs w:val="21"/>
          <w:u w:val="single"/>
        </w:rPr>
        <w:t>361001</w:t>
      </w:r>
    </w:p>
    <w:p>
      <w:pPr>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公司网址：</w:t>
      </w:r>
      <w:r>
        <w:rPr>
          <w:rFonts w:hint="eastAsia" w:ascii="微软简仿宋" w:hAnsi="宋体" w:eastAsia="微软简仿宋"/>
          <w:b/>
          <w:szCs w:val="21"/>
          <w:u w:val="single"/>
        </w:rPr>
        <w:t>www.xmbankonline.com</w:t>
      </w:r>
    </w:p>
    <w:p>
      <w:pPr>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客服/联系电话：</w:t>
      </w:r>
      <w:r>
        <w:rPr>
          <w:rFonts w:hint="eastAsia" w:ascii="微软简仿宋" w:hAnsi="宋体" w:eastAsia="微软简仿宋"/>
          <w:b/>
          <w:szCs w:val="21"/>
          <w:u w:val="single"/>
        </w:rPr>
        <w:t>400-858-8888</w:t>
      </w:r>
    </w:p>
    <w:p>
      <w:pPr>
        <w:adjustRightInd w:val="0"/>
        <w:snapToGrid w:val="0"/>
        <w:ind w:firstLine="420" w:firstLineChars="200"/>
        <w:jc w:val="both"/>
        <w:rPr>
          <w:rFonts w:hint="eastAsia" w:ascii="仿宋" w:hAnsi="仿宋" w:eastAsia="仿宋" w:cs="仿宋"/>
          <w:sz w:val="21"/>
          <w:szCs w:val="21"/>
        </w:rPr>
      </w:pPr>
    </w:p>
    <w:p>
      <w:pPr>
        <w:adjustRightInd w:val="0"/>
        <w:snapToGrid w:val="0"/>
        <w:ind w:firstLine="420" w:firstLineChars="200"/>
        <w:jc w:val="both"/>
        <w:rPr>
          <w:rFonts w:hint="eastAsia" w:ascii="仿宋" w:hAnsi="仿宋" w:eastAsia="仿宋" w:cs="仿宋"/>
          <w:color w:val="000000"/>
          <w:sz w:val="21"/>
          <w:szCs w:val="21"/>
        </w:rPr>
      </w:pPr>
      <w:r>
        <w:rPr>
          <w:rFonts w:hint="eastAsia" w:ascii="仿宋" w:hAnsi="仿宋" w:eastAsia="仿宋" w:cs="仿宋"/>
          <w:color w:val="000000"/>
          <w:sz w:val="21"/>
          <w:szCs w:val="21"/>
        </w:rPr>
        <w:t>甲方（即购买理财产品的投资者）本着自主决策、自愿委托、风险自担的原则，购买乙方（华夏理财有限责任公司）发行的理财产品，为明确双方的权利义务，双方经平等协商签订本协议书。</w:t>
      </w:r>
      <w:r>
        <w:rPr>
          <w:rFonts w:hint="eastAsia" w:ascii="仿宋" w:hAnsi="仿宋" w:eastAsia="仿宋" w:cs="仿宋"/>
          <w:b/>
          <w:bCs/>
          <w:color w:val="000000"/>
          <w:sz w:val="21"/>
          <w:szCs w:val="21"/>
        </w:rPr>
        <w:t>本协议书适用于乙方委托理财产品代理销售机构（以下简称“代销机构”）代销的净值型理财产品。</w:t>
      </w:r>
      <w:r>
        <w:rPr>
          <w:rFonts w:hint="eastAsia" w:ascii="仿宋" w:hAnsi="仿宋" w:eastAsia="仿宋" w:cs="仿宋"/>
          <w:color w:val="000000"/>
          <w:sz w:val="21"/>
          <w:szCs w:val="21"/>
        </w:rPr>
        <w:t>本协议中提到的申购、预约申购、赎回、预约赎回仅适用于开放式净值型理财产品，具体产品性质以理财产品说明书为准。</w:t>
      </w:r>
    </w:p>
    <w:p>
      <w:pPr>
        <w:adjustRightInd w:val="0"/>
        <w:snapToGrid w:val="0"/>
        <w:ind w:firstLine="422" w:firstLineChars="200"/>
        <w:jc w:val="both"/>
        <w:rPr>
          <w:rFonts w:hint="eastAsia" w:ascii="仿宋" w:hAnsi="仿宋" w:eastAsia="仿宋" w:cs="仿宋"/>
          <w:b/>
          <w:bCs/>
          <w:color w:val="000000"/>
          <w:sz w:val="21"/>
          <w:szCs w:val="21"/>
        </w:rPr>
      </w:pPr>
    </w:p>
    <w:p>
      <w:pPr>
        <w:adjustRightInd w:val="0"/>
        <w:snapToGrid w:val="0"/>
        <w:ind w:firstLine="422" w:firstLineChars="200"/>
        <w:jc w:val="both"/>
        <w:rPr>
          <w:rFonts w:hint="eastAsia" w:ascii="仿宋" w:hAnsi="仿宋" w:eastAsia="仿宋" w:cs="仿宋"/>
          <w:b/>
          <w:bCs/>
          <w:color w:val="000000"/>
          <w:sz w:val="21"/>
          <w:szCs w:val="21"/>
        </w:rPr>
      </w:pPr>
    </w:p>
    <w:p>
      <w:pPr>
        <w:keepNext/>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甲方声明：</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color w:val="000000"/>
          <w:sz w:val="21"/>
          <w:szCs w:val="21"/>
          <w:lang w:val="en-US" w:eastAsia="zh-CN"/>
        </w:rPr>
        <w:t>1.</w:t>
      </w:r>
      <w:r>
        <w:rPr>
          <w:rFonts w:hint="eastAsia" w:ascii="仿宋" w:hAnsi="仿宋" w:eastAsia="仿宋" w:cs="仿宋"/>
          <w:b/>
          <w:bCs/>
          <w:color w:val="000000"/>
          <w:sz w:val="21"/>
          <w:szCs w:val="21"/>
        </w:rPr>
        <w:t>甲方声明以</w:t>
      </w:r>
      <w:r>
        <w:rPr>
          <w:rFonts w:hint="eastAsia" w:ascii="仿宋" w:hAnsi="仿宋" w:eastAsia="仿宋" w:cs="仿宋"/>
          <w:b/>
          <w:bCs/>
          <w:color w:val="000000"/>
          <w:sz w:val="21"/>
          <w:szCs w:val="21"/>
          <w:lang w:val="en-US" w:eastAsia="zh-CN"/>
        </w:rPr>
        <w:t>本人/</w:t>
      </w:r>
      <w:r>
        <w:rPr>
          <w:rFonts w:hint="eastAsia" w:ascii="仿宋" w:hAnsi="仿宋" w:eastAsia="仿宋" w:cs="仿宋"/>
          <w:b/>
          <w:bCs/>
          <w:color w:val="000000"/>
          <w:sz w:val="21"/>
          <w:szCs w:val="21"/>
        </w:rPr>
        <w:t>本机构合法持有的自有资金或合法募集资金购买乙方发行的理财产品，不存在使用贷款、发行债券等募集的非自有资金投资理财产品的情形（合法募集资金除外）。甲方承诺投资理财产品使用的资金来源合法合规，并且系为合法之目的投资本理财产品，而非为洗钱等违法犯罪之目的，甲方将配合乙方、代销机构开展投资者身份识别及尽职调查等反洗钱活动，及时、真实、准确、完整提供</w:t>
      </w:r>
      <w:r>
        <w:rPr>
          <w:rFonts w:hint="eastAsia" w:ascii="仿宋" w:hAnsi="仿宋" w:eastAsia="仿宋" w:cs="仿宋"/>
          <w:b/>
          <w:bCs/>
          <w:color w:val="000000"/>
          <w:sz w:val="21"/>
          <w:szCs w:val="21"/>
          <w:lang w:val="en-US" w:eastAsia="zh-CN"/>
        </w:rPr>
        <w:t>本人/本</w:t>
      </w:r>
      <w:r>
        <w:rPr>
          <w:rFonts w:hint="eastAsia" w:ascii="仿宋" w:hAnsi="仿宋" w:eastAsia="仿宋" w:cs="仿宋"/>
          <w:b/>
          <w:bCs/>
          <w:color w:val="000000"/>
          <w:sz w:val="21"/>
          <w:szCs w:val="21"/>
        </w:rPr>
        <w:t>机构</w:t>
      </w:r>
      <w:r>
        <w:rPr>
          <w:rFonts w:hint="eastAsia" w:ascii="仿宋" w:hAnsi="仿宋" w:eastAsia="仿宋" w:cs="仿宋"/>
          <w:b/>
          <w:bCs/>
          <w:color w:val="000000"/>
          <w:sz w:val="21"/>
          <w:szCs w:val="21"/>
          <w:lang w:val="en-US" w:eastAsia="zh-CN"/>
        </w:rPr>
        <w:t>身份</w:t>
      </w:r>
      <w:r>
        <w:rPr>
          <w:rFonts w:hint="eastAsia" w:ascii="仿宋" w:hAnsi="仿宋" w:eastAsia="仿宋" w:cs="仿宋"/>
          <w:b/>
          <w:bCs/>
          <w:color w:val="000000"/>
          <w:sz w:val="21"/>
          <w:szCs w:val="21"/>
        </w:rPr>
        <w:t>及资金来源等信息。</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color w:val="000000"/>
          <w:sz w:val="21"/>
          <w:szCs w:val="21"/>
        </w:rPr>
        <w:t>2</w:t>
      </w:r>
      <w:r>
        <w:rPr>
          <w:rFonts w:hint="eastAsia" w:ascii="仿宋" w:hAnsi="仿宋" w:eastAsia="仿宋" w:cs="仿宋"/>
          <w:b/>
          <w:color w:val="000000"/>
          <w:sz w:val="21"/>
          <w:szCs w:val="21"/>
          <w:lang w:val="en-US" w:eastAsia="zh-CN"/>
        </w:rPr>
        <w:t>.</w:t>
      </w:r>
      <w:r>
        <w:rPr>
          <w:rFonts w:hint="eastAsia" w:ascii="仿宋" w:hAnsi="仿宋" w:eastAsia="仿宋" w:cs="仿宋"/>
          <w:b/>
          <w:bCs/>
          <w:color w:val="000000"/>
          <w:sz w:val="21"/>
          <w:szCs w:val="21"/>
        </w:rPr>
        <w:t>甲方声明所提供的所有资料真实、完整、合法、有效，如有变更，甲方应及时</w:t>
      </w:r>
      <w:r>
        <w:rPr>
          <w:rFonts w:hint="eastAsia" w:ascii="仿宋" w:hAnsi="仿宋" w:eastAsia="仿宋" w:cs="仿宋"/>
          <w:b/>
          <w:bCs/>
          <w:color w:val="000000"/>
          <w:sz w:val="21"/>
          <w:szCs w:val="21"/>
          <w:lang w:val="en-US" w:eastAsia="zh-CN"/>
        </w:rPr>
        <w:t>联系</w:t>
      </w:r>
      <w:r>
        <w:rPr>
          <w:rFonts w:hint="eastAsia" w:ascii="仿宋" w:hAnsi="仿宋" w:eastAsia="仿宋" w:cs="仿宋"/>
          <w:b/>
          <w:bCs/>
          <w:color w:val="000000"/>
          <w:sz w:val="21"/>
          <w:szCs w:val="21"/>
        </w:rPr>
        <w:t>代销机构办理变更手续。若甲方未及时办理相关变更手续，由此导致的一切后果由甲方承担，乙方对此不承担任何责任。</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color w:val="000000"/>
          <w:sz w:val="21"/>
          <w:szCs w:val="21"/>
        </w:rPr>
        <w:t>3</w:t>
      </w:r>
      <w:r>
        <w:rPr>
          <w:rFonts w:hint="eastAsia" w:ascii="仿宋" w:hAnsi="仿宋" w:eastAsia="仿宋" w:cs="仿宋"/>
          <w:b/>
          <w:color w:val="000000"/>
          <w:sz w:val="21"/>
          <w:szCs w:val="21"/>
          <w:lang w:val="en-US" w:eastAsia="zh-CN"/>
        </w:rPr>
        <w:t>.</w:t>
      </w:r>
      <w:r>
        <w:rPr>
          <w:rFonts w:hint="eastAsia" w:ascii="仿宋" w:hAnsi="仿宋" w:eastAsia="仿宋" w:cs="仿宋"/>
          <w:b/>
          <w:bCs/>
          <w:color w:val="000000"/>
          <w:sz w:val="21"/>
          <w:szCs w:val="21"/>
        </w:rPr>
        <w:t>甲方声明已阅知投资者权益须知，接受并签署本协议书、产品说明书、风险揭示书、投资协议书。甲方的投资决策完全是甲方独立、自主、谨慎做出的。甲方已充分了解本协议书相关内容，特别是甲方认购/预约认购/申购/预约申购/赎回/预约赎回条款、免责条款等的内容和含义。甲方已完全知晓并充分理解甲乙双方的权利、义务、责任和投资理财产品的风险，甲方自愿接受本协议书内容，自愿并能承担相关风险。</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4</w:t>
      </w:r>
      <w:r>
        <w:rPr>
          <w:rFonts w:hint="eastAsia" w:ascii="仿宋" w:hAnsi="仿宋" w:eastAsia="仿宋" w:cs="仿宋"/>
          <w:b/>
          <w:color w:val="000000"/>
          <w:sz w:val="21"/>
          <w:szCs w:val="21"/>
          <w:lang w:val="en-US" w:eastAsia="zh-CN"/>
        </w:rPr>
        <w:t>.</w:t>
      </w:r>
      <w:r>
        <w:rPr>
          <w:rFonts w:hint="eastAsia" w:ascii="仿宋" w:hAnsi="仿宋" w:eastAsia="仿宋" w:cs="仿宋"/>
          <w:b/>
          <w:color w:val="000000"/>
          <w:sz w:val="21"/>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5</w:t>
      </w:r>
      <w:r>
        <w:rPr>
          <w:rFonts w:hint="eastAsia" w:ascii="仿宋" w:hAnsi="仿宋" w:eastAsia="仿宋" w:cs="仿宋"/>
          <w:b/>
          <w:color w:val="000000"/>
          <w:sz w:val="21"/>
          <w:szCs w:val="21"/>
          <w:lang w:val="en-US" w:eastAsia="zh-CN"/>
        </w:rPr>
        <w:t>.</w:t>
      </w:r>
      <w:r>
        <w:rPr>
          <w:rFonts w:hint="eastAsia" w:ascii="仿宋" w:hAnsi="仿宋" w:eastAsia="仿宋" w:cs="仿宋"/>
          <w:b/>
          <w:color w:val="000000"/>
          <w:sz w:val="21"/>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lang w:eastAsia="zh-CN"/>
        </w:rPr>
      </w:pPr>
      <w:r>
        <w:rPr>
          <w:rFonts w:hint="eastAsia" w:ascii="仿宋" w:hAnsi="仿宋" w:eastAsia="仿宋" w:cs="仿宋"/>
          <w:b/>
          <w:color w:val="000000"/>
          <w:sz w:val="21"/>
          <w:szCs w:val="21"/>
        </w:rPr>
        <w:t>6</w:t>
      </w:r>
      <w:r>
        <w:rPr>
          <w:rFonts w:hint="eastAsia" w:ascii="仿宋" w:hAnsi="仿宋" w:eastAsia="仿宋" w:cs="仿宋"/>
          <w:b/>
          <w:color w:val="000000"/>
          <w:sz w:val="21"/>
          <w:szCs w:val="21"/>
          <w:lang w:val="en-US" w:eastAsia="zh-CN"/>
        </w:rPr>
        <w:t>.</w:t>
      </w:r>
      <w:r>
        <w:rPr>
          <w:rFonts w:hint="eastAsia" w:ascii="仿宋" w:hAnsi="仿宋" w:eastAsia="仿宋" w:cs="仿宋"/>
          <w:b/>
          <w:color w:val="000000"/>
          <w:sz w:val="21"/>
          <w:szCs w:val="21"/>
        </w:rPr>
        <w:t>甲方</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lang w:val="en-US" w:eastAsia="zh-CN"/>
        </w:rPr>
        <w:t>如为机构投资者</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rPr>
        <w:t>声明已按公司章程等有关规定和程序取得办理理财业务所需的充分授权，并保证该等授权合法并持续有效。</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一、名词释义</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理财产品：指由乙方按照理财产品销售文件约定的条件和实际投资收益情况向投资者支付收益、不保证本金支付和收益水平的非保本理财产品。产品的具体细节详见理财产品说明书、风险揭示书、投资者权益须知。</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公募理财产品：根据募集方式不同，将理财产品分为公募理财产品和私募理财产品。公募理财产品指面向不特定社会公众公开发行的理财产品。</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私募理财产品：根据募集方式不同，将理财产品分为公募理财产品和私募理财产品。私募理财产品指面向合格投资者非公开发行的理财产品。</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4</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合格投资者：指具备相应风险识别能力和风险承受能力，投资于单只理财产品不低于一定金额且符合下列条件的自然人、法人或者依法成立的其他组织：</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（1）具有2年以上投资经历，且满足家庭金融净资产不低于300万元人民币，或者家庭金融资产不低于500万元人民币，或者近3年本人年均收入不低于40万元人民币；</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（2）最近1年末净资产不低于1000万元人民币的法人或者依法成立的其他组织；</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（3）国务院银行业监督管理机构规定的其他情形。</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5</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代销机构：指接受乙方委托销售其发行理财产品的代理销售机构，包括其他理财公司，商业银行、农村合作银行、村镇银行、农村信用合作社等吸收公众存款的银行业金融机构，以及银保监会规定的其他机构。代销机构信息将通过乙方、代销机构的官方渠道予以公告 。</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6</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理财产品宣传推介材料：指理财产品代销机构为宣传推介理财产品向投资者分发或者发布，使投资者可以获得的文字、图片、音频、视频以及其他形式的信息。</w:t>
      </w:r>
    </w:p>
    <w:p>
      <w:pPr>
        <w:keepLines w:val="0"/>
        <w:pageBreakBefore w:val="0"/>
        <w:widowControl/>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7</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理财产品销售文件：包括销售协议书（即本协议）、代理销售协议书（如有）、理财产品投资协议书、理财产品说明书、风险揭示书、投资者权益须知以及后续对上述文件的有效修订及补充；代销机构提供的经投资者确认的交易</w:t>
      </w:r>
      <w:r>
        <w:rPr>
          <w:rFonts w:hint="eastAsia" w:ascii="仿宋" w:hAnsi="仿宋" w:eastAsia="仿宋" w:cs="仿宋"/>
          <w:color w:val="000000"/>
          <w:sz w:val="21"/>
          <w:szCs w:val="21"/>
          <w:lang w:bidi="ar"/>
        </w:rPr>
        <w:t>申请单（如有）及回单（如有）为理财产品销售文件的有效构成</w:t>
      </w:r>
      <w:r>
        <w:rPr>
          <w:rFonts w:hint="eastAsia" w:ascii="仿宋" w:hAnsi="仿宋" w:eastAsia="仿宋" w:cs="仿宋"/>
          <w:color w:val="000000"/>
          <w:sz w:val="21"/>
          <w:szCs w:val="21"/>
        </w:rPr>
        <w:t>。</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8</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本协议：指《华夏理财有限责任公司理财产品销售协议书》以及其后续有效的修订与补充。</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9</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理财产品说明书或产品说明书：指乙方公布的、旨在说明理财产品具体要素的产品说明及其更新。</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bCs/>
          <w:color w:val="000000"/>
          <w:sz w:val="21"/>
          <w:szCs w:val="21"/>
        </w:rPr>
        <w:t>10</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约定信息披露途径：指理财产品说明书、销售协议书、代理销售协议书（如有）、投资者权益须知中约定的理财产品信息披露渠道。</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法律法规、监管规定：包括现行有效的法律、行政法规、部门规章和相关监管部门颁布的具有约束效力的规范性文件。</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12</w:t>
      </w:r>
      <w:r>
        <w:rPr>
          <w:rFonts w:hint="eastAsia" w:ascii="仿宋" w:hAnsi="仿宋" w:eastAsia="仿宋" w:cs="仿宋"/>
          <w:color w:val="000000"/>
          <w:sz w:val="21"/>
          <w:szCs w:val="21"/>
          <w:lang w:val="en-US" w:eastAsia="zh-CN"/>
        </w:rPr>
        <w:t>.</w:t>
      </w:r>
      <w:r>
        <w:rPr>
          <w:rFonts w:hint="eastAsia" w:ascii="仿宋" w:hAnsi="仿宋" w:eastAsia="仿宋" w:cs="仿宋"/>
          <w:bCs/>
          <w:color w:val="000000"/>
          <w:sz w:val="21"/>
          <w:szCs w:val="21"/>
        </w:rPr>
        <w:t>理财</w:t>
      </w:r>
      <w:r>
        <w:rPr>
          <w:rFonts w:hint="eastAsia" w:ascii="仿宋" w:hAnsi="仿宋" w:eastAsia="仿宋" w:cs="仿宋"/>
          <w:color w:val="000000"/>
          <w:sz w:val="21"/>
          <w:szCs w:val="21"/>
        </w:rPr>
        <w:t>产品开放日：指投资者可以办理理财产品申购、赎回等交易业务的日期。具体开放日、交易时间以理财产品说明书、销售协议书、代理销售协议书（如有）约定为准。封闭式理财产品不设开放日。</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认购：指投资者在发行/募集期内购买理财产品。</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14</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申购：指投资者在理财产品成立后的开放日购买理财产品。</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15</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赎回：指投资者主动部分或全部退出所持有理财产品。</w:t>
      </w:r>
    </w:p>
    <w:p>
      <w:pPr>
        <w:keepLines w:val="0"/>
        <w:pageBreakBefore w:val="0"/>
        <w:numPr>
          <w:ins w:id="0" w:author="王晓" w:date=""/>
        </w:numPr>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b/>
          <w:bCs/>
          <w:color w:val="000000"/>
          <w:sz w:val="21"/>
          <w:szCs w:val="21"/>
        </w:rPr>
      </w:pPr>
      <w:r>
        <w:rPr>
          <w:rFonts w:hint="eastAsia" w:ascii="仿宋" w:hAnsi="仿宋" w:eastAsia="仿宋" w:cs="仿宋"/>
          <w:color w:val="000000"/>
          <w:sz w:val="21"/>
          <w:szCs w:val="21"/>
        </w:rPr>
        <w:t>16</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预约认购：</w:t>
      </w:r>
      <w:r>
        <w:rPr>
          <w:rFonts w:hint="eastAsia" w:ascii="仿宋" w:hAnsi="仿宋" w:eastAsia="仿宋" w:cs="仿宋"/>
          <w:sz w:val="21"/>
          <w:szCs w:val="21"/>
        </w:rPr>
        <w:t>指理财产品发行起始日至发行终止日前，提前申请在产品发行终止日当天认购理财产品。</w:t>
      </w:r>
      <w:r>
        <w:rPr>
          <w:rFonts w:hint="eastAsia" w:ascii="仿宋" w:hAnsi="仿宋" w:eastAsia="仿宋" w:cs="仿宋"/>
          <w:color w:val="000000"/>
          <w:sz w:val="21"/>
          <w:szCs w:val="21"/>
        </w:rPr>
        <w:t>预约认购申请视同在发行终止日当天的认购申请。</w:t>
      </w:r>
      <w:r>
        <w:rPr>
          <w:rFonts w:hint="eastAsia" w:ascii="仿宋" w:hAnsi="仿宋" w:eastAsia="仿宋" w:cs="仿宋"/>
          <w:b/>
          <w:bCs/>
          <w:color w:val="000000"/>
          <w:sz w:val="21"/>
          <w:szCs w:val="21"/>
        </w:rPr>
        <w:t>代销机构另有约定的，以代销机构约定为准。</w:t>
      </w:r>
    </w:p>
    <w:p>
      <w:pPr>
        <w:keepLines w:val="0"/>
        <w:pageBreakBefore w:val="0"/>
        <w:numPr>
          <w:ins w:id="1" w:author="王晓" w:date=""/>
        </w:numPr>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b/>
          <w:bCs/>
          <w:color w:val="000000"/>
          <w:sz w:val="21"/>
          <w:szCs w:val="21"/>
        </w:rPr>
      </w:pPr>
      <w:r>
        <w:rPr>
          <w:rFonts w:hint="eastAsia" w:ascii="仿宋" w:hAnsi="仿宋" w:eastAsia="仿宋" w:cs="仿宋"/>
          <w:color w:val="000000"/>
          <w:sz w:val="21"/>
          <w:szCs w:val="21"/>
        </w:rPr>
        <w:t>17</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预约申购/预约赎回：指理财产品封闭期最后一个工作日约定时点（具体约定详见产品说明书）前，</w:t>
      </w:r>
      <w:r>
        <w:rPr>
          <w:rFonts w:hint="eastAsia" w:ascii="仿宋" w:hAnsi="仿宋" w:eastAsia="仿宋" w:cs="仿宋"/>
          <w:bCs/>
          <w:sz w:val="21"/>
          <w:szCs w:val="21"/>
        </w:rPr>
        <w:t>提前申请在下一开放日开放时间内申购/赎回理财产品。</w:t>
      </w:r>
      <w:r>
        <w:rPr>
          <w:rFonts w:hint="eastAsia" w:ascii="仿宋" w:hAnsi="仿宋" w:eastAsia="仿宋" w:cs="仿宋"/>
          <w:color w:val="000000"/>
          <w:sz w:val="21"/>
          <w:szCs w:val="21"/>
        </w:rPr>
        <w:t>预约申购及预约赎回申请，视同在下一开放日开放时间内的申购/赎回申请。</w:t>
      </w:r>
      <w:r>
        <w:rPr>
          <w:rFonts w:hint="eastAsia" w:ascii="仿宋" w:hAnsi="仿宋" w:eastAsia="仿宋" w:cs="仿宋"/>
          <w:b/>
          <w:bCs/>
          <w:color w:val="000000"/>
          <w:sz w:val="21"/>
          <w:szCs w:val="21"/>
        </w:rPr>
        <w:t>代销机构另有约定的，以代销机构约定为准。</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18</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理财产品流动性风险，具体以理财产品说明书约定为准。</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19</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冷静期：对私募类理财产品，甲方自签署私募理财产品销售文件之时起，有权享有24小时的投资冷静期。在投资冷静期内，如果甲方改变决定，乙方将遵从甲方意愿，解除已签订的销售文件，并及时退还全部投资款项。</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二、理财产品销售业务规则</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为维护全体投资者权益，乙方可根据法律法规、监管规定及说明书约定设置、调整理财产品的销售总规模、销售机构、销售渠道、销售对象、销售机构或渠道的销售额度、交易时间及其他交易条件等销售业务规则，并履行信息披露义务。</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lang w:val="en-US" w:eastAsia="zh-CN"/>
        </w:rPr>
        <w:t>如为机构投资者</w:t>
      </w:r>
      <w:r>
        <w:rPr>
          <w:rFonts w:hint="eastAsia" w:ascii="仿宋" w:hAnsi="仿宋" w:eastAsia="仿宋" w:cs="仿宋"/>
          <w:b/>
          <w:color w:val="000000"/>
          <w:sz w:val="21"/>
          <w:szCs w:val="21"/>
          <w:lang w:eastAsia="zh-CN"/>
        </w:rPr>
        <w:t>）</w:t>
      </w:r>
      <w:r>
        <w:rPr>
          <w:rFonts w:hint="eastAsia" w:ascii="仿宋" w:hAnsi="仿宋" w:eastAsia="仿宋" w:cs="仿宋"/>
          <w:b/>
          <w:bCs/>
          <w:color w:val="000000"/>
          <w:sz w:val="21"/>
          <w:szCs w:val="21"/>
        </w:rPr>
        <w:t>法定代表人授权其他人员办理本协议项下相关业务的，应按照乙方、代销机构要求提供授权书、授权代理人身份证件等资料。</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color w:val="000000"/>
          <w:sz w:val="21"/>
          <w:szCs w:val="21"/>
        </w:rPr>
      </w:pPr>
      <w:r>
        <w:rPr>
          <w:rFonts w:hint="eastAsia" w:ascii="仿宋" w:hAnsi="仿宋" w:eastAsia="仿宋" w:cs="仿宋"/>
          <w:b/>
          <w:color w:val="000000"/>
          <w:sz w:val="21"/>
          <w:szCs w:val="21"/>
          <w:lang w:eastAsia="zh-CN"/>
        </w:rPr>
        <w:t>（</w:t>
      </w:r>
      <w:r>
        <w:rPr>
          <w:rFonts w:hint="eastAsia" w:ascii="仿宋" w:hAnsi="仿宋" w:eastAsia="仿宋" w:cs="仿宋"/>
          <w:b/>
          <w:bCs/>
          <w:color w:val="000000"/>
          <w:sz w:val="21"/>
          <w:szCs w:val="21"/>
        </w:rPr>
        <w:t>一</w:t>
      </w:r>
      <w:r>
        <w:rPr>
          <w:rFonts w:hint="eastAsia" w:ascii="仿宋" w:hAnsi="仿宋" w:eastAsia="仿宋" w:cs="仿宋"/>
          <w:b/>
          <w:color w:val="000000"/>
          <w:sz w:val="21"/>
          <w:szCs w:val="21"/>
          <w:lang w:eastAsia="zh-CN"/>
        </w:rPr>
        <w:t>）</w:t>
      </w:r>
      <w:r>
        <w:rPr>
          <w:rFonts w:hint="eastAsia" w:ascii="仿宋" w:hAnsi="仿宋" w:eastAsia="仿宋" w:cs="仿宋"/>
          <w:b/>
          <w:bCs/>
          <w:color w:val="000000"/>
          <w:sz w:val="21"/>
          <w:szCs w:val="21"/>
        </w:rPr>
        <w:t>理财业务签约</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甲方已在代销机构开立账户并进行理财业务签约（以下简称“签约账户”），指定签约账户用于认购/预约认购/申购/预约申购/赎回/预约赎回本协议书项下的理财产品。</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甲方确认在签约时提供的证件资料、联系方式等信息真实且有效。乙方和代销机构在法律、法规、监管规定、有权机关规定的期限内留存甲方信息。</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4</w:t>
      </w:r>
      <w:r>
        <w:rPr>
          <w:rFonts w:hint="eastAsia" w:ascii="仿宋" w:hAnsi="仿宋" w:eastAsia="仿宋" w:cs="仿宋"/>
          <w:b/>
          <w:color w:val="000000"/>
          <w:sz w:val="21"/>
          <w:szCs w:val="21"/>
          <w:lang w:val="en-US" w:eastAsia="zh-CN"/>
        </w:rPr>
        <w:t>.</w:t>
      </w:r>
      <w:r>
        <w:rPr>
          <w:rFonts w:hint="eastAsia" w:ascii="仿宋" w:hAnsi="仿宋" w:eastAsia="仿宋" w:cs="仿宋"/>
          <w:b/>
          <w:bCs/>
          <w:color w:val="000000"/>
          <w:sz w:val="21"/>
          <w:szCs w:val="21"/>
        </w:rPr>
        <w:t>甲方在理财产品全部赎回或兑付前，不得办理签约账户销户。</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color w:val="000000"/>
          <w:sz w:val="21"/>
          <w:szCs w:val="21"/>
        </w:rPr>
      </w:pPr>
      <w:r>
        <w:rPr>
          <w:rFonts w:hint="eastAsia" w:ascii="仿宋" w:hAnsi="仿宋" w:eastAsia="仿宋" w:cs="仿宋"/>
          <w:b/>
          <w:color w:val="000000"/>
          <w:sz w:val="21"/>
          <w:szCs w:val="21"/>
        </w:rPr>
        <w:t>（二）认购/申购/预约认购/预约申购/赎回/预约赎回</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bCs/>
          <w:color w:val="000000"/>
          <w:sz w:val="21"/>
          <w:szCs w:val="21"/>
        </w:rPr>
        <w:t>1</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甲方应根据自身风险承受能力审慎购买理财产品。甲方同意在理财产品认购/申购/预约认购/预约申购时代销机构依约定从签约账户中预扣或冻结约定的申请金额用于购买理财产品。扣划或冻结期间，是否计付利息以代销机构业务规则为准，与乙方无关。</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甲方同意在认购/申购/预约认购/预约申购交易后，代销机构依据约定划款时间予以划款，不再与甲方确认。甲方认购/申购风险较高或单笔金额较大的理财产品时，亦适用此项约定。</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产品兑付时，乙方委托代销机构根据理财产品说明书的约定将理财本金及理财收益（如有）划入甲方签约账户。</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bCs/>
          <w:color w:val="000000"/>
          <w:sz w:val="21"/>
          <w:szCs w:val="21"/>
        </w:rPr>
        <w:t>4</w:t>
      </w:r>
      <w:r>
        <w:rPr>
          <w:rFonts w:hint="eastAsia" w:ascii="仿宋" w:hAnsi="仿宋" w:eastAsia="仿宋" w:cs="仿宋"/>
          <w:color w:val="000000"/>
          <w:sz w:val="21"/>
          <w:szCs w:val="21"/>
          <w:lang w:val="en-US" w:eastAsia="zh-CN"/>
        </w:rPr>
        <w:t>.</w:t>
      </w:r>
      <w:r>
        <w:rPr>
          <w:rFonts w:hint="eastAsia" w:ascii="仿宋" w:hAnsi="仿宋" w:eastAsia="仿宋" w:cs="仿宋"/>
          <w:bCs/>
          <w:color w:val="000000"/>
          <w:sz w:val="21"/>
          <w:szCs w:val="21"/>
        </w:rPr>
        <w:t>乙</w:t>
      </w:r>
      <w:r>
        <w:rPr>
          <w:rFonts w:hint="eastAsia" w:ascii="仿宋" w:hAnsi="仿宋" w:eastAsia="仿宋" w:cs="仿宋"/>
          <w:color w:val="000000"/>
          <w:sz w:val="21"/>
          <w:szCs w:val="21"/>
        </w:rPr>
        <w:t>方允许甲方在发行/募集期内撤销认购/预约认购，</w:t>
      </w:r>
      <w:r>
        <w:rPr>
          <w:rFonts w:hint="eastAsia" w:ascii="仿宋" w:hAnsi="仿宋" w:eastAsia="仿宋" w:cs="仿宋"/>
          <w:sz w:val="21"/>
          <w:szCs w:val="21"/>
        </w:rPr>
        <w:t>甲方退回的理财本金具体到账时间以代销机构规定为准。</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color w:val="000000"/>
          <w:sz w:val="21"/>
          <w:szCs w:val="21"/>
          <w:lang w:val="en-US" w:eastAsia="zh-CN"/>
        </w:rPr>
        <w:t>.</w:t>
      </w:r>
      <w:r>
        <w:rPr>
          <w:rFonts w:hint="eastAsia" w:ascii="仿宋" w:hAnsi="仿宋" w:eastAsia="仿宋" w:cs="仿宋"/>
          <w:sz w:val="21"/>
          <w:szCs w:val="21"/>
        </w:rPr>
        <w:t>预约认购申请，视同在发行终止日当天的认购申请，具体办理规则以代销机构约定为准。</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6</w:t>
      </w:r>
      <w:r>
        <w:rPr>
          <w:rFonts w:hint="eastAsia" w:ascii="仿宋" w:hAnsi="仿宋" w:eastAsia="仿宋" w:cs="仿宋"/>
          <w:color w:val="000000"/>
          <w:sz w:val="21"/>
          <w:szCs w:val="21"/>
          <w:lang w:val="en-US" w:eastAsia="zh-CN"/>
        </w:rPr>
        <w:t>.</w:t>
      </w:r>
      <w:r>
        <w:rPr>
          <w:rFonts w:hint="eastAsia" w:ascii="仿宋" w:hAnsi="仿宋" w:eastAsia="仿宋" w:cs="仿宋"/>
          <w:sz w:val="21"/>
          <w:szCs w:val="21"/>
        </w:rPr>
        <w:t>预约申购申请，视同在下一开放日开放时间内的申购申请，具体办理规则以代销机构约定为准。</w:t>
      </w:r>
    </w:p>
    <w:p>
      <w:pPr>
        <w:keepLines w:val="0"/>
        <w:pageBreakBefore w:val="0"/>
        <w:tabs>
          <w:tab w:val="left" w:pos="312"/>
        </w:tabs>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7</w:t>
      </w:r>
      <w:r>
        <w:rPr>
          <w:rFonts w:hint="eastAsia" w:ascii="仿宋" w:hAnsi="仿宋" w:eastAsia="仿宋" w:cs="仿宋"/>
          <w:color w:val="000000"/>
          <w:sz w:val="21"/>
          <w:szCs w:val="21"/>
          <w:lang w:val="en-US" w:eastAsia="zh-CN"/>
        </w:rPr>
        <w:t>.</w:t>
      </w:r>
      <w:r>
        <w:rPr>
          <w:rFonts w:hint="eastAsia" w:ascii="仿宋" w:hAnsi="仿宋" w:eastAsia="仿宋" w:cs="仿宋"/>
          <w:sz w:val="21"/>
          <w:szCs w:val="21"/>
        </w:rPr>
        <w:t>产品开放期间，投资者可撤销已提交的申购/赎回申请，具体规定如下：</w:t>
      </w:r>
    </w:p>
    <w:p>
      <w:pPr>
        <w:keepLines w:val="0"/>
        <w:pageBreakBefore w:val="0"/>
        <w:tabs>
          <w:tab w:val="left" w:pos="312"/>
        </w:tabs>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（1）只能全额撤销；</w:t>
      </w:r>
    </w:p>
    <w:p>
      <w:pPr>
        <w:keepLines w:val="0"/>
        <w:pageBreakBefore w:val="0"/>
        <w:tabs>
          <w:tab w:val="left" w:pos="312"/>
        </w:tabs>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（2）开放日开放时间之后不能撤销。</w:t>
      </w:r>
    </w:p>
    <w:p>
      <w:pPr>
        <w:keepLines w:val="0"/>
        <w:pageBreakBefore w:val="0"/>
        <w:tabs>
          <w:tab w:val="left" w:pos="312"/>
        </w:tabs>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sz w:val="21"/>
          <w:szCs w:val="21"/>
        </w:rPr>
      </w:pPr>
      <w:r>
        <w:rPr>
          <w:rFonts w:hint="eastAsia" w:ascii="仿宋" w:hAnsi="仿宋" w:eastAsia="仿宋" w:cs="仿宋"/>
          <w:b/>
          <w:bCs/>
          <w:sz w:val="21"/>
          <w:szCs w:val="21"/>
        </w:rPr>
        <w:t>代销机构如有约定的，以代销机构约定为准。</w:t>
      </w:r>
    </w:p>
    <w:p>
      <w:pPr>
        <w:keepLines w:val="0"/>
        <w:pageBreakBefore w:val="0"/>
        <w:tabs>
          <w:tab w:val="left" w:pos="312"/>
        </w:tabs>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sz w:val="21"/>
          <w:szCs w:val="21"/>
        </w:rPr>
        <w:t>8</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甲方通过代销机构提交的理财产品申购/赎回的撤单申请，按产品说明书约定经乙方或代销机构确认后方可生效。</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9</w:t>
      </w:r>
      <w:r>
        <w:rPr>
          <w:rFonts w:hint="eastAsia" w:ascii="仿宋" w:hAnsi="仿宋" w:eastAsia="仿宋" w:cs="仿宋"/>
          <w:color w:val="000000"/>
          <w:sz w:val="21"/>
          <w:szCs w:val="21"/>
          <w:lang w:val="en-US" w:eastAsia="zh-CN"/>
        </w:rPr>
        <w:t>.</w:t>
      </w:r>
      <w:r>
        <w:rPr>
          <w:rFonts w:hint="eastAsia" w:ascii="仿宋" w:hAnsi="仿宋" w:eastAsia="仿宋" w:cs="仿宋"/>
          <w:sz w:val="21"/>
          <w:szCs w:val="21"/>
        </w:rPr>
        <w:t>封闭期的最后一个工作日</w:t>
      </w:r>
      <w:r>
        <w:rPr>
          <w:rFonts w:hint="eastAsia" w:ascii="仿宋" w:hAnsi="仿宋" w:eastAsia="仿宋" w:cs="仿宋"/>
          <w:color w:val="000000"/>
          <w:sz w:val="21"/>
          <w:szCs w:val="21"/>
        </w:rPr>
        <w:t>约定时点（具体时点以产品说明书及代销机构约定为准）</w:t>
      </w:r>
      <w:r>
        <w:rPr>
          <w:rFonts w:hint="eastAsia" w:ascii="仿宋" w:hAnsi="仿宋" w:eastAsia="仿宋" w:cs="仿宋"/>
          <w:sz w:val="21"/>
          <w:szCs w:val="21"/>
        </w:rPr>
        <w:t>前，投资者仅可对已提交的预约申购、预约赎回申请进行全额撤销。</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10</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11</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在产品存续期内，除非出现按照产品说明书约定终止理财产品的情形，否则不得要求乙方在产品非开放日前退还已扣款项或以任何形式清算其持有的理财产品份额。</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12．本协议中涉及的日期如遇产品说明书约定的非工作日，则自动顺延至下一个工作日。</w:t>
      </w:r>
    </w:p>
    <w:p>
      <w:pPr>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三、客户信息保密及使用</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bCs/>
          <w:color w:val="000000"/>
          <w:sz w:val="21"/>
          <w:szCs w:val="21"/>
        </w:rPr>
      </w:pPr>
      <w:r>
        <w:rPr>
          <w:rFonts w:hint="eastAsia" w:ascii="仿宋" w:hAnsi="仿宋" w:eastAsia="仿宋" w:cs="仿宋"/>
          <w:color w:val="000000"/>
          <w:sz w:val="21"/>
          <w:szCs w:val="21"/>
        </w:rPr>
        <w:t>乙方、代销机构应就理财产品销售过程中获知的甲方信息承担保密义务。非经甲方事先许可，不得向第三方披露，但法律法规或监管规定另有要求的除外。</w:t>
      </w:r>
      <w:r>
        <w:rPr>
          <w:rFonts w:hint="eastAsia" w:ascii="仿宋" w:hAnsi="仿宋" w:eastAsia="仿宋" w:cs="仿宋"/>
          <w:b/>
          <w:bCs/>
          <w:color w:val="000000"/>
          <w:sz w:val="21"/>
          <w:szCs w:val="21"/>
        </w:rPr>
        <w:t>甲方在此同意，乙方及代销机构可根据监管要求，为理财产品登记等需要，向登记部门或监管机构提供甲方相关信息。</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（一）个人信息</w:t>
      </w:r>
      <w:r>
        <w:rPr>
          <w:rFonts w:hint="eastAsia" w:ascii="仿宋" w:hAnsi="仿宋" w:eastAsia="仿宋" w:cs="仿宋"/>
          <w:color w:val="000000"/>
          <w:sz w:val="21"/>
          <w:szCs w:val="21"/>
          <w:lang w:val="en-US" w:eastAsia="zh-CN"/>
        </w:rPr>
        <w:t>使用授权</w:t>
      </w:r>
    </w:p>
    <w:p>
      <w:pPr>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b/>
          <w:bCs/>
          <w:color w:val="000000"/>
          <w:sz w:val="21"/>
          <w:szCs w:val="21"/>
          <w:lang w:eastAsia="zh-CN"/>
        </w:rPr>
      </w:pPr>
      <w:r>
        <w:rPr>
          <w:rFonts w:hint="eastAsia" w:ascii="仿宋" w:hAnsi="仿宋" w:eastAsia="仿宋" w:cs="仿宋"/>
          <w:color w:val="000000"/>
          <w:sz w:val="21"/>
          <w:szCs w:val="21"/>
        </w:rPr>
        <w:t>个人信息是以电子或者其他方式记录的，与已识别或者可识别的自然人有关的各种信息，不包括匿名化处理后的信息。甲方同意并自愿授权乙方在提供理财业务服务所必需的情形下，</w:t>
      </w:r>
      <w:r>
        <w:rPr>
          <w:rFonts w:hint="eastAsia" w:ascii="仿宋" w:hAnsi="仿宋" w:eastAsia="仿宋" w:cs="仿宋"/>
          <w:b/>
          <w:bCs/>
          <w:color w:val="000000"/>
          <w:sz w:val="21"/>
          <w:szCs w:val="21"/>
        </w:rPr>
        <w:t>基于身份验证、理财业务办理、风险监测和保护账户资金安全、履行反洗钱和制裁要求</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履行非居民金融账户涉税信息尽职调查义务</w:t>
      </w:r>
      <w:r>
        <w:rPr>
          <w:rFonts w:hint="eastAsia" w:ascii="仿宋" w:hAnsi="仿宋" w:eastAsia="仿宋" w:cs="仿宋"/>
          <w:b/>
          <w:bCs/>
          <w:color w:val="000000"/>
          <w:sz w:val="21"/>
          <w:szCs w:val="21"/>
        </w:rPr>
        <w:t>、审计、客户服务与回访、统计分析和加工处理、归档和业务备份、履行</w:t>
      </w:r>
      <w:r>
        <w:rPr>
          <w:rFonts w:hint="eastAsia" w:ascii="仿宋" w:hAnsi="仿宋" w:eastAsia="仿宋" w:cs="仿宋"/>
          <w:b/>
          <w:bCs/>
          <w:color w:val="000000"/>
          <w:sz w:val="21"/>
          <w:szCs w:val="21"/>
          <w:lang w:val="en-US" w:eastAsia="zh-CN"/>
        </w:rPr>
        <w:t>其他</w:t>
      </w:r>
      <w:r>
        <w:rPr>
          <w:rFonts w:hint="eastAsia" w:ascii="仿宋" w:hAnsi="仿宋" w:eastAsia="仿宋" w:cs="仿宋"/>
          <w:b/>
          <w:bCs/>
          <w:color w:val="000000"/>
          <w:sz w:val="21"/>
          <w:szCs w:val="21"/>
        </w:rPr>
        <w:t>法定义务等目的，以收集、存储、使用、传输、提供、删除等方式处理获取的如下甲方个人信息</w:t>
      </w:r>
      <w:r>
        <w:rPr>
          <w:rFonts w:hint="eastAsia" w:ascii="仿宋" w:hAnsi="仿宋" w:eastAsia="仿宋" w:cs="仿宋"/>
          <w:b/>
          <w:bCs/>
          <w:color w:val="000000"/>
          <w:sz w:val="21"/>
          <w:szCs w:val="21"/>
          <w:lang w:eastAsia="zh-CN"/>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7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适用于</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个人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投资者</w:t>
            </w:r>
          </w:p>
        </w:tc>
        <w:tc>
          <w:tcPr>
            <w:tcW w:w="74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val="en-US" w:eastAsia="zh-CN"/>
              </w:rPr>
            </w:pPr>
            <w:r>
              <w:rPr>
                <w:rFonts w:hint="eastAsia" w:ascii="仿宋" w:hAnsi="仿宋" w:eastAsia="仿宋" w:cs="仿宋"/>
                <w:b/>
                <w:bCs/>
                <w:color w:val="000000"/>
                <w:sz w:val="21"/>
                <w:szCs w:val="21"/>
                <w:lang w:val="en-US" w:eastAsia="zh-CN"/>
              </w:rPr>
              <w:t>甲方个人信息指本人</w:t>
            </w:r>
            <w:r>
              <w:rPr>
                <w:rFonts w:hint="eastAsia" w:ascii="仿宋" w:hAnsi="仿宋" w:eastAsia="仿宋" w:cs="仿宋"/>
                <w:b/>
                <w:bCs/>
                <w:color w:val="000000"/>
                <w:sz w:val="21"/>
                <w:szCs w:val="21"/>
              </w:rPr>
              <w:t>的个人信息</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包括：</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eastAsia="zh-CN"/>
              </w:rPr>
            </w:pPr>
            <w:r>
              <w:rPr>
                <w:rFonts w:hint="eastAsia" w:ascii="仿宋" w:hAnsi="仿宋" w:eastAsia="仿宋" w:cs="仿宋"/>
                <w:b/>
                <w:bCs/>
                <w:color w:val="000000"/>
                <w:sz w:val="21"/>
                <w:szCs w:val="21"/>
              </w:rPr>
              <w:t>1</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身份信息：姓名、性别、国籍、职业、工作单位、住址、联系方式、手机号码、身份证件信息</w:t>
            </w:r>
            <w:r>
              <w:rPr>
                <w:rFonts w:hint="eastAsia" w:ascii="仿宋" w:hAnsi="仿宋" w:eastAsia="仿宋" w:cs="仿宋"/>
                <w:b/>
                <w:bCs/>
                <w:color w:val="00000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eastAsia="zh-CN"/>
              </w:rPr>
            </w:pPr>
            <w:r>
              <w:rPr>
                <w:rFonts w:hint="eastAsia" w:ascii="仿宋" w:hAnsi="仿宋" w:eastAsia="仿宋" w:cs="仿宋"/>
                <w:b/>
                <w:bCs/>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财产信息：纳税信息</w:t>
            </w:r>
            <w:r>
              <w:rPr>
                <w:rFonts w:hint="eastAsia" w:ascii="仿宋" w:hAnsi="仿宋" w:eastAsia="仿宋" w:cs="仿宋"/>
                <w:b/>
                <w:bCs/>
                <w:color w:val="00000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eastAsia="zh-CN"/>
              </w:rPr>
            </w:pPr>
            <w:r>
              <w:rPr>
                <w:rFonts w:hint="eastAsia" w:ascii="仿宋" w:hAnsi="仿宋" w:eastAsia="仿宋" w:cs="仿宋"/>
                <w:b/>
                <w:bCs/>
                <w:color w:val="000000"/>
                <w:sz w:val="21"/>
                <w:szCs w:val="21"/>
              </w:rPr>
              <w:t>3</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账户信息：银行卡号或账号信息</w:t>
            </w:r>
            <w:r>
              <w:rPr>
                <w:rFonts w:hint="eastAsia" w:ascii="仿宋" w:hAnsi="仿宋" w:eastAsia="仿宋" w:cs="仿宋"/>
                <w:b/>
                <w:bCs/>
                <w:color w:val="00000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rPr>
              <w:t>4</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交易信息：交易金额</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交易凭证</w:t>
            </w:r>
            <w:r>
              <w:rPr>
                <w:rFonts w:hint="eastAsia" w:ascii="仿宋" w:hAnsi="仿宋" w:eastAsia="仿宋" w:cs="仿宋"/>
                <w:b/>
                <w:bCs/>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适用于</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机构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eastAsia="zh-CN"/>
              </w:rPr>
            </w:pPr>
            <w:r>
              <w:rPr>
                <w:rFonts w:hint="eastAsia" w:ascii="仿宋" w:hAnsi="仿宋" w:eastAsia="仿宋" w:cs="仿宋"/>
                <w:b/>
                <w:bCs/>
                <w:color w:val="000000"/>
                <w:sz w:val="21"/>
                <w:szCs w:val="21"/>
                <w:vertAlign w:val="baseline"/>
                <w:lang w:val="en-US" w:eastAsia="zh-CN"/>
              </w:rPr>
              <w:t>投资者</w:t>
            </w:r>
          </w:p>
        </w:tc>
        <w:tc>
          <w:tcPr>
            <w:tcW w:w="74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val="en-US" w:eastAsia="zh-CN"/>
              </w:rPr>
            </w:pPr>
            <w:r>
              <w:rPr>
                <w:rFonts w:hint="eastAsia" w:ascii="仿宋" w:hAnsi="仿宋" w:eastAsia="仿宋" w:cs="仿宋"/>
                <w:b/>
                <w:bCs/>
                <w:color w:val="000000"/>
                <w:sz w:val="21"/>
                <w:szCs w:val="21"/>
                <w:lang w:val="en-US" w:eastAsia="zh-CN"/>
              </w:rPr>
              <w:t>甲方个人信息指</w:t>
            </w:r>
            <w:r>
              <w:rPr>
                <w:rFonts w:hint="eastAsia" w:ascii="仿宋" w:hAnsi="仿宋" w:eastAsia="仿宋" w:cs="仿宋"/>
                <w:b/>
                <w:bCs/>
                <w:color w:val="000000"/>
                <w:sz w:val="21"/>
                <w:szCs w:val="21"/>
              </w:rPr>
              <w:t>经办人、</w:t>
            </w:r>
            <w:r>
              <w:rPr>
                <w:rFonts w:hint="eastAsia" w:ascii="仿宋" w:hAnsi="仿宋" w:eastAsia="仿宋" w:cs="仿宋"/>
                <w:b/>
                <w:bCs/>
                <w:color w:val="000000"/>
                <w:sz w:val="21"/>
                <w:szCs w:val="21"/>
                <w:lang w:eastAsia="zh-CN"/>
              </w:rPr>
              <w:t>法定代表人</w:t>
            </w:r>
            <w:r>
              <w:rPr>
                <w:rFonts w:hint="eastAsia" w:ascii="仿宋" w:hAnsi="仿宋" w:eastAsia="仿宋" w:cs="仿宋"/>
                <w:b/>
                <w:bCs/>
                <w:color w:val="000000"/>
                <w:sz w:val="21"/>
                <w:szCs w:val="21"/>
              </w:rPr>
              <w:t>、实际控制人、</w:t>
            </w:r>
            <w:r>
              <w:rPr>
                <w:rFonts w:hint="eastAsia" w:ascii="仿宋" w:hAnsi="仿宋" w:eastAsia="仿宋" w:cs="仿宋"/>
                <w:b/>
                <w:bCs/>
                <w:color w:val="000000"/>
                <w:sz w:val="21"/>
                <w:szCs w:val="21"/>
                <w:lang w:val="en-US" w:eastAsia="zh-CN"/>
              </w:rPr>
              <w:t>实际</w:t>
            </w:r>
            <w:r>
              <w:rPr>
                <w:rFonts w:hint="eastAsia" w:ascii="仿宋" w:hAnsi="仿宋" w:eastAsia="仿宋" w:cs="仿宋"/>
                <w:b/>
                <w:bCs/>
                <w:color w:val="000000"/>
                <w:sz w:val="21"/>
                <w:szCs w:val="21"/>
              </w:rPr>
              <w:t>受益人的个人信息</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包括：</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val="en-US" w:eastAsia="zh-CN"/>
              </w:rPr>
            </w:pPr>
            <w:r>
              <w:rPr>
                <w:rFonts w:hint="eastAsia" w:ascii="仿宋" w:hAnsi="仿宋" w:eastAsia="仿宋" w:cs="仿宋"/>
                <w:b/>
                <w:bCs/>
                <w:color w:val="000000"/>
                <w:sz w:val="21"/>
                <w:szCs w:val="21"/>
                <w:lang w:val="en-US" w:eastAsia="zh-CN"/>
              </w:rPr>
              <w:t>身份信息：</w:t>
            </w:r>
            <w:r>
              <w:rPr>
                <w:rFonts w:hint="eastAsia" w:ascii="仿宋" w:hAnsi="仿宋" w:eastAsia="仿宋" w:cs="仿宋"/>
                <w:b/>
                <w:bCs/>
                <w:color w:val="000000"/>
                <w:sz w:val="21"/>
                <w:szCs w:val="21"/>
              </w:rPr>
              <w:t>姓名、性别、国籍、职业、住址、联系方式、身份证件信息</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证件有效期。</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如果甲方不同意乙方处理上述个人信息，乙方将无法提供理财业务服务。</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（二）敏感个人信息</w:t>
      </w:r>
      <w:r>
        <w:rPr>
          <w:rFonts w:hint="eastAsia" w:ascii="仿宋" w:hAnsi="仿宋" w:eastAsia="仿宋" w:cs="仿宋"/>
          <w:color w:val="000000"/>
          <w:sz w:val="21"/>
          <w:szCs w:val="21"/>
          <w:lang w:val="en-US" w:eastAsia="zh-CN"/>
        </w:rPr>
        <w:t>使用授权</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lang w:val="en-US" w:eastAsia="zh-CN"/>
        </w:rPr>
        <w:t>以上甲方</w:t>
      </w:r>
      <w:r>
        <w:rPr>
          <w:rFonts w:hint="eastAsia" w:ascii="仿宋" w:hAnsi="仿宋" w:eastAsia="仿宋" w:cs="仿宋"/>
          <w:b/>
          <w:bCs/>
          <w:color w:val="000000"/>
          <w:sz w:val="21"/>
          <w:szCs w:val="21"/>
        </w:rPr>
        <w:t>个人信息中身份证件信息、财产信息、账户信息、交易信息属于甲方的敏感个人信息</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甲方同意并授权乙方处理其敏感个人信息。甲方不同意乙方处理该信息的，乙方将</w:t>
      </w:r>
      <w:r>
        <w:rPr>
          <w:rFonts w:hint="eastAsia" w:ascii="仿宋" w:hAnsi="仿宋" w:eastAsia="仿宋" w:cs="仿宋"/>
          <w:b/>
          <w:bCs/>
          <w:color w:val="000000"/>
          <w:sz w:val="21"/>
          <w:szCs w:val="21"/>
          <w:lang w:val="en-US" w:eastAsia="zh-CN"/>
        </w:rPr>
        <w:t>可能</w:t>
      </w:r>
      <w:r>
        <w:rPr>
          <w:rFonts w:hint="eastAsia" w:ascii="仿宋" w:hAnsi="仿宋" w:eastAsia="仿宋" w:cs="仿宋"/>
          <w:b/>
          <w:bCs/>
          <w:color w:val="000000"/>
          <w:sz w:val="21"/>
          <w:szCs w:val="21"/>
        </w:rPr>
        <w:t>无法提供理财业务服务。</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（三）对外提供个人信息</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甲方同意并自愿授权乙方根据法律法规、监管部门的规定或有权机关的命令，为履行反洗钱</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反欺诈</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开展金融账户涉税信息调查</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公安及司法等有权机关查询</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冻结</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扣划</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理财信息数据报送等法定职责或者法定义务之目的，将甲方的信息提供给银行业理财登记托管中心、理财业务监管机构及有权机关。</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（四）征得授权同意的例外</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依据相关法律、行政法规的规定，在以下情形中收集、使用甲方的个人信息无需征得甲方的授权：</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为订立、履行合同所必需的；</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产品管理人为履行法定职责或者法定义务所必需；</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为应对突发公共卫生事件，或者紧急情况下为保护自然人的生命健康和财产安全所必需；</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4</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为公共利益实施新闻报道、舆论监督等行为，在合理的范围内处理个人信息；</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5</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在合理的范围内处理个人自行公开或者其他已经合法公开的个人信息；</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6</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法律、法规规定的其他情形。</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五</w:t>
      </w: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公开个人信息</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六</w:t>
      </w:r>
      <w:r>
        <w:rPr>
          <w:rFonts w:hint="eastAsia" w:ascii="仿宋" w:hAnsi="仿宋" w:eastAsia="仿宋" w:cs="仿宋"/>
          <w:color w:val="000000"/>
          <w:sz w:val="21"/>
          <w:szCs w:val="21"/>
        </w:rPr>
        <w:t>）其他</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9"/>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乙方获取的甲方个人信息及理财信息将存储在中华人民共和国境内。</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9"/>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在乙方提供理财业务服务期间，甲方的个人信息授权持续有效。乙方仅在法律法规、监管规定要求的期限内，以及为实现本业务信息处理之目的所必需的时限内保留甲方的个人信息。</w:t>
      </w:r>
      <w:r>
        <w:rPr>
          <w:rFonts w:hint="eastAsia" w:ascii="仿宋" w:hAnsi="仿宋" w:eastAsia="仿宋" w:cs="仿宋"/>
          <w:color w:val="000000"/>
          <w:sz w:val="21"/>
          <w:szCs w:val="21"/>
          <w:lang w:eastAsia="zh-CN"/>
        </w:rPr>
        <w:t>当超出保留期限后，乙方将按照法律法规的规定，对甲方的个人信息进行删除或匿名化处理等相关操作。</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3</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甲方有权通过理财</w:t>
      </w:r>
      <w:r>
        <w:rPr>
          <w:rFonts w:hint="eastAsia" w:ascii="仿宋" w:hAnsi="仿宋" w:eastAsia="仿宋" w:cs="仿宋"/>
          <w:b/>
          <w:bCs/>
          <w:color w:val="000000"/>
          <w:sz w:val="21"/>
          <w:szCs w:val="21"/>
          <w:lang w:val="en-US" w:eastAsia="zh-CN"/>
        </w:rPr>
        <w:t>销售</w:t>
      </w:r>
      <w:r>
        <w:rPr>
          <w:rFonts w:hint="eastAsia" w:ascii="仿宋" w:hAnsi="仿宋" w:eastAsia="仿宋" w:cs="仿宋"/>
          <w:b/>
          <w:bCs/>
          <w:color w:val="000000"/>
          <w:sz w:val="21"/>
          <w:szCs w:val="21"/>
        </w:rPr>
        <w:t>机构行使法律所赋予甲方对个人信息的知情权、决定权、查阅权、复制权、更正及补充权、删除权、解释权等，法律、行政法规另有规定的除外。</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9"/>
        <w:rPr>
          <w:rFonts w:hint="eastAsia" w:ascii="仿宋" w:hAnsi="仿宋" w:eastAsia="仿宋" w:cs="仿宋"/>
          <w:color w:val="000000"/>
          <w:sz w:val="21"/>
          <w:szCs w:val="21"/>
        </w:rPr>
      </w:pPr>
      <w:r>
        <w:rPr>
          <w:rFonts w:hint="eastAsia" w:ascii="仿宋" w:hAnsi="仿宋" w:eastAsia="仿宋" w:cs="仿宋"/>
          <w:b w:val="0"/>
          <w:bCs w:val="0"/>
          <w:color w:val="000000"/>
          <w:sz w:val="21"/>
          <w:szCs w:val="21"/>
        </w:rPr>
        <w:t>基于甲方同意乙方处理其个人信息的，甲方</w:t>
      </w:r>
      <w:r>
        <w:rPr>
          <w:rFonts w:hint="eastAsia" w:ascii="仿宋" w:hAnsi="仿宋" w:eastAsia="仿宋" w:cs="仿宋"/>
          <w:color w:val="000000"/>
          <w:sz w:val="21"/>
          <w:szCs w:val="21"/>
        </w:rPr>
        <w:t>可以通过理财</w:t>
      </w:r>
      <w:r>
        <w:rPr>
          <w:rFonts w:hint="eastAsia" w:ascii="仿宋" w:hAnsi="仿宋" w:eastAsia="仿宋" w:cs="仿宋"/>
          <w:color w:val="000000"/>
          <w:sz w:val="21"/>
          <w:szCs w:val="21"/>
          <w:lang w:val="en-US" w:eastAsia="zh-CN"/>
        </w:rPr>
        <w:t>销售</w:t>
      </w:r>
      <w:r>
        <w:rPr>
          <w:rFonts w:hint="eastAsia" w:ascii="仿宋" w:hAnsi="仿宋" w:eastAsia="仿宋" w:cs="仿宋"/>
          <w:color w:val="000000"/>
          <w:sz w:val="21"/>
          <w:szCs w:val="21"/>
        </w:rPr>
        <w:t>机构向乙方提出撤回处理个人信息的授权或改变授权同意的范围</w:t>
      </w:r>
      <w:r>
        <w:rPr>
          <w:rFonts w:hint="eastAsia" w:ascii="仿宋" w:hAnsi="仿宋" w:eastAsia="仿宋" w:cs="仿宋"/>
          <w:b w:val="0"/>
          <w:bCs w:val="0"/>
          <w:color w:val="000000"/>
          <w:sz w:val="21"/>
          <w:szCs w:val="21"/>
        </w:rPr>
        <w:t>。甲方撤回</w:t>
      </w:r>
      <w:r>
        <w:rPr>
          <w:rFonts w:hint="eastAsia" w:ascii="仿宋" w:hAnsi="仿宋" w:eastAsia="仿宋" w:cs="仿宋"/>
          <w:color w:val="000000"/>
          <w:sz w:val="21"/>
          <w:szCs w:val="21"/>
        </w:rPr>
        <w:t>对乙方处理</w:t>
      </w:r>
      <w:r>
        <w:rPr>
          <w:rFonts w:hint="eastAsia" w:ascii="仿宋" w:hAnsi="仿宋" w:eastAsia="仿宋" w:cs="仿宋"/>
          <w:b w:val="0"/>
          <w:bCs w:val="0"/>
          <w:color w:val="000000"/>
          <w:sz w:val="21"/>
          <w:szCs w:val="21"/>
        </w:rPr>
        <w:t>个人信息</w:t>
      </w:r>
      <w:r>
        <w:rPr>
          <w:rFonts w:hint="eastAsia" w:ascii="仿宋" w:hAnsi="仿宋" w:eastAsia="仿宋" w:cs="仿宋"/>
          <w:color w:val="000000"/>
          <w:sz w:val="21"/>
          <w:szCs w:val="21"/>
        </w:rPr>
        <w:t>的</w:t>
      </w:r>
      <w:r>
        <w:rPr>
          <w:rFonts w:hint="eastAsia" w:ascii="仿宋" w:hAnsi="仿宋" w:eastAsia="仿宋" w:cs="仿宋"/>
          <w:b w:val="0"/>
          <w:bCs w:val="0"/>
          <w:color w:val="000000"/>
          <w:sz w:val="21"/>
          <w:szCs w:val="21"/>
        </w:rPr>
        <w:t>同意，</w:t>
      </w:r>
      <w:r>
        <w:rPr>
          <w:rFonts w:hint="eastAsia" w:ascii="仿宋" w:hAnsi="仿宋" w:eastAsia="仿宋" w:cs="仿宋"/>
          <w:color w:val="000000"/>
          <w:sz w:val="21"/>
          <w:szCs w:val="21"/>
        </w:rPr>
        <w:t>乙方将</w:t>
      </w:r>
      <w:r>
        <w:rPr>
          <w:rFonts w:hint="eastAsia" w:ascii="仿宋" w:hAnsi="仿宋" w:eastAsia="仿宋" w:cs="仿宋"/>
          <w:color w:val="000000"/>
          <w:sz w:val="21"/>
          <w:szCs w:val="21"/>
          <w:lang w:val="en-US" w:eastAsia="zh-CN"/>
        </w:rPr>
        <w:t>可能</w:t>
      </w:r>
      <w:r>
        <w:rPr>
          <w:rFonts w:hint="eastAsia" w:ascii="仿宋" w:hAnsi="仿宋" w:eastAsia="仿宋" w:cs="仿宋"/>
          <w:color w:val="000000"/>
          <w:sz w:val="21"/>
          <w:szCs w:val="21"/>
        </w:rPr>
        <w:t>无法继续提供理财业务服务</w:t>
      </w:r>
      <w:r>
        <w:rPr>
          <w:rFonts w:hint="eastAsia" w:ascii="仿宋" w:hAnsi="仿宋" w:eastAsia="仿宋" w:cs="仿宋"/>
          <w:b w:val="0"/>
          <w:bCs w:val="0"/>
          <w:color w:val="000000"/>
          <w:sz w:val="21"/>
          <w:szCs w:val="21"/>
        </w:rPr>
        <w:t>。甲方撤回同意的，不</w:t>
      </w:r>
      <w:r>
        <w:rPr>
          <w:rFonts w:hint="eastAsia" w:ascii="仿宋" w:hAnsi="仿宋" w:eastAsia="仿宋" w:cs="仿宋"/>
          <w:color w:val="000000"/>
          <w:sz w:val="21"/>
          <w:szCs w:val="21"/>
        </w:rPr>
        <w:t>会</w:t>
      </w:r>
      <w:r>
        <w:rPr>
          <w:rFonts w:hint="eastAsia" w:ascii="仿宋" w:hAnsi="仿宋" w:eastAsia="仿宋" w:cs="仿宋"/>
          <w:b w:val="0"/>
          <w:bCs w:val="0"/>
          <w:color w:val="000000"/>
          <w:sz w:val="21"/>
          <w:szCs w:val="21"/>
        </w:rPr>
        <w:t>影响撤回前基于甲方同意乙方已进行的个人信息处理活动的效力。</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但</w:t>
      </w:r>
      <w:r>
        <w:rPr>
          <w:rFonts w:hint="eastAsia" w:ascii="仿宋" w:hAnsi="仿宋" w:eastAsia="仿宋" w:cs="仿宋"/>
          <w:b/>
          <w:bCs/>
          <w:color w:val="000000"/>
          <w:sz w:val="21"/>
          <w:szCs w:val="21"/>
          <w:lang w:val="en-US" w:eastAsia="zh-CN"/>
        </w:rPr>
        <w:t>如为履行</w:t>
      </w:r>
      <w:r>
        <w:rPr>
          <w:rFonts w:hint="eastAsia" w:ascii="仿宋" w:hAnsi="仿宋" w:eastAsia="仿宋" w:cs="仿宋"/>
          <w:b/>
          <w:bCs/>
          <w:color w:val="000000"/>
          <w:sz w:val="21"/>
          <w:szCs w:val="21"/>
        </w:rPr>
        <w:t>合同所必需</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或乙方为履行法定职责及义务等原因</w:t>
      </w:r>
      <w:r>
        <w:rPr>
          <w:rFonts w:hint="eastAsia" w:ascii="仿宋" w:hAnsi="仿宋" w:eastAsia="仿宋" w:cs="仿宋"/>
          <w:b/>
          <w:bCs/>
          <w:color w:val="000000"/>
          <w:sz w:val="21"/>
          <w:szCs w:val="21"/>
        </w:rPr>
        <w:t>，</w:t>
      </w:r>
      <w:r>
        <w:rPr>
          <w:rFonts w:hint="eastAsia" w:ascii="仿宋" w:hAnsi="仿宋" w:eastAsia="仿宋" w:cs="仿宋"/>
          <w:b/>
          <w:bCs/>
          <w:color w:val="000000"/>
          <w:sz w:val="21"/>
          <w:szCs w:val="21"/>
          <w:lang w:val="en-US" w:eastAsia="zh-CN"/>
        </w:rPr>
        <w:t>乙方</w:t>
      </w:r>
      <w:r>
        <w:rPr>
          <w:rFonts w:hint="eastAsia" w:ascii="仿宋" w:hAnsi="仿宋" w:eastAsia="仿宋" w:cs="仿宋"/>
          <w:b/>
          <w:bCs/>
          <w:color w:val="000000"/>
          <w:sz w:val="21"/>
          <w:szCs w:val="21"/>
        </w:rPr>
        <w:t>将</w:t>
      </w:r>
      <w:r>
        <w:rPr>
          <w:rFonts w:hint="eastAsia" w:ascii="仿宋" w:hAnsi="仿宋" w:eastAsia="仿宋" w:cs="仿宋"/>
          <w:b/>
          <w:bCs/>
          <w:color w:val="000000"/>
          <w:sz w:val="21"/>
          <w:szCs w:val="21"/>
          <w:lang w:val="en-US" w:eastAsia="zh-CN"/>
        </w:rPr>
        <w:t>可能</w:t>
      </w:r>
      <w:r>
        <w:rPr>
          <w:rFonts w:hint="eastAsia" w:ascii="仿宋" w:hAnsi="仿宋" w:eastAsia="仿宋" w:cs="仿宋"/>
          <w:b/>
          <w:bCs/>
          <w:color w:val="000000"/>
          <w:sz w:val="21"/>
          <w:szCs w:val="21"/>
        </w:rPr>
        <w:t>无法响应</w:t>
      </w:r>
      <w:r>
        <w:rPr>
          <w:rFonts w:hint="eastAsia" w:ascii="仿宋" w:hAnsi="仿宋" w:eastAsia="仿宋" w:cs="仿宋"/>
          <w:b/>
          <w:bCs/>
          <w:color w:val="000000"/>
          <w:sz w:val="21"/>
          <w:szCs w:val="21"/>
          <w:lang w:val="en-US" w:eastAsia="zh-CN"/>
        </w:rPr>
        <w:t>甲</w:t>
      </w:r>
      <w:r>
        <w:rPr>
          <w:rFonts w:hint="eastAsia" w:ascii="仿宋" w:hAnsi="仿宋" w:eastAsia="仿宋" w:cs="仿宋"/>
          <w:b/>
          <w:bCs/>
          <w:color w:val="000000"/>
          <w:sz w:val="21"/>
          <w:szCs w:val="21"/>
        </w:rPr>
        <w:t>方</w:t>
      </w:r>
      <w:r>
        <w:rPr>
          <w:rFonts w:hint="eastAsia" w:ascii="仿宋" w:hAnsi="仿宋" w:eastAsia="仿宋" w:cs="仿宋"/>
          <w:b/>
          <w:bCs/>
          <w:color w:val="000000"/>
          <w:sz w:val="21"/>
          <w:szCs w:val="21"/>
          <w:lang w:val="en-US" w:eastAsia="zh-CN"/>
        </w:rPr>
        <w:t>行使上述权利</w:t>
      </w:r>
      <w:r>
        <w:rPr>
          <w:rFonts w:hint="eastAsia" w:ascii="仿宋" w:hAnsi="仿宋" w:eastAsia="仿宋" w:cs="仿宋"/>
          <w:b/>
          <w:bCs/>
          <w:color w:val="000000"/>
          <w:sz w:val="21"/>
          <w:szCs w:val="21"/>
        </w:rPr>
        <w:t>的请求</w:t>
      </w:r>
      <w:r>
        <w:rPr>
          <w:rFonts w:hint="eastAsia" w:ascii="仿宋" w:hAnsi="仿宋" w:eastAsia="仿宋" w:cs="仿宋"/>
          <w:b/>
          <w:bCs/>
          <w:color w:val="00000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9"/>
        <w:rPr>
          <w:rFonts w:hint="eastAsia" w:ascii="仿宋" w:hAnsi="仿宋" w:eastAsia="仿宋" w:cs="仿宋"/>
          <w:b/>
          <w:bCs/>
          <w:color w:val="000000"/>
          <w:sz w:val="21"/>
          <w:szCs w:val="21"/>
        </w:rPr>
      </w:pPr>
      <w:r>
        <w:rPr>
          <w:rFonts w:hint="eastAsia" w:ascii="仿宋" w:hAnsi="仿宋" w:eastAsia="仿宋" w:cs="仿宋"/>
          <w:color w:val="000000"/>
          <w:sz w:val="21"/>
          <w:szCs w:val="21"/>
        </w:rPr>
        <w:t>4</w:t>
      </w:r>
      <w:r>
        <w:rPr>
          <w:rFonts w:hint="eastAsia" w:ascii="仿宋" w:hAnsi="仿宋" w:eastAsia="仿宋" w:cs="仿宋"/>
          <w:color w:val="000000"/>
          <w:sz w:val="21"/>
          <w:szCs w:val="21"/>
          <w:lang w:val="en-US" w:eastAsia="zh-CN"/>
        </w:rPr>
        <w:t>.</w:t>
      </w:r>
      <w:r>
        <w:rPr>
          <w:rFonts w:hint="eastAsia" w:ascii="仿宋" w:hAnsi="仿宋" w:eastAsia="仿宋" w:cs="仿宋"/>
          <w:b w:val="0"/>
          <w:bCs/>
          <w:color w:val="000000"/>
          <w:sz w:val="21"/>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四、产品收费</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乙方依据理财产品说明书约定的费用项目、收费条件、费率标准、收费方式等要素收取相关费用。</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乙方可根据市场情况调整已约定的收费项目、收费条件、费率标准和收费方式，并将在生效前通过约定信息披露途径予以披露。甲方不同意的，可根据公告信息赎回产品。</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五、免责条款</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1</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因不可抗力、非乙方原因发生的计算机系统故障、网络故障、通讯故障、电力故障等，导致甲方产生损失的，乙方不承担责任。如发生</w:t>
      </w:r>
      <w:r>
        <w:rPr>
          <w:rFonts w:hint="eastAsia" w:ascii="仿宋" w:hAnsi="仿宋" w:eastAsia="仿宋" w:cs="仿宋"/>
          <w:b/>
          <w:color w:val="000000"/>
          <w:sz w:val="21"/>
          <w:szCs w:val="21"/>
          <w:lang w:val="en-US" w:eastAsia="zh-CN"/>
        </w:rPr>
        <w:t>上述</w:t>
      </w:r>
      <w:r>
        <w:rPr>
          <w:rFonts w:hint="eastAsia" w:ascii="仿宋" w:hAnsi="仿宋" w:eastAsia="仿宋" w:cs="仿宋"/>
          <w:b/>
          <w:color w:val="000000"/>
          <w:sz w:val="21"/>
          <w:szCs w:val="21"/>
        </w:rPr>
        <w:t>情况，乙方</w:t>
      </w:r>
      <w:r>
        <w:rPr>
          <w:rFonts w:hint="eastAsia" w:ascii="仿宋" w:hAnsi="仿宋" w:eastAsia="仿宋" w:cs="仿宋"/>
          <w:b/>
          <w:color w:val="000000"/>
          <w:sz w:val="21"/>
          <w:szCs w:val="21"/>
          <w:lang w:val="en-US" w:eastAsia="zh-CN"/>
        </w:rPr>
        <w:t>将通</w:t>
      </w:r>
      <w:r>
        <w:rPr>
          <w:rFonts w:hint="eastAsia" w:ascii="仿宋" w:hAnsi="仿宋" w:eastAsia="仿宋" w:cs="仿宋"/>
          <w:b/>
          <w:bCs/>
          <w:color w:val="000000"/>
          <w:sz w:val="21"/>
          <w:szCs w:val="21"/>
        </w:rPr>
        <w:t>过约定的信息披露途径及时</w:t>
      </w:r>
      <w:r>
        <w:rPr>
          <w:rFonts w:hint="eastAsia" w:ascii="仿宋" w:hAnsi="仿宋" w:eastAsia="仿宋" w:cs="仿宋"/>
          <w:b/>
          <w:bCs/>
          <w:color w:val="000000"/>
          <w:sz w:val="21"/>
          <w:szCs w:val="21"/>
          <w:lang w:val="en-US" w:eastAsia="zh-CN"/>
        </w:rPr>
        <w:t>公告</w:t>
      </w:r>
      <w:r>
        <w:rPr>
          <w:rFonts w:hint="eastAsia" w:ascii="仿宋" w:hAnsi="仿宋" w:eastAsia="仿宋" w:cs="仿宋"/>
          <w:b/>
          <w:color w:val="000000"/>
          <w:sz w:val="21"/>
          <w:szCs w:val="21"/>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由于国家的有关法律、法规、规章、政策的改变、紧急措施的出台而导致甲方承担的风险，乙方不承担责任。</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3</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由于甲方的原因，理财资金被司法机关等有权部门冻结、扣划，乙方不承担责任。</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六、协议构成和效力</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0"/>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除本协议外，甲方购买具体的理财产品时，还应签署产品说明书、投资协议书、风险揭示书和投资者权益须知。本协议与产品说明书、投资协议书、风险揭示书、投资者权益须知、业务回单、交易凭证等有关法律文件共同构成一份完整且不可分割的理财合同。</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有关甲方所购买理财产品的任何介绍、说明、承诺仅以本协议、产品说明书、乙方和代销机构通过约定信息披露途径发布的对应产品信息为准。</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0"/>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本协议持续有效，不因甲方所购买的单期理财产品被赎回、到期或提前终止而失效。</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七、争议的处理</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因履行本协议书而引致的一切争议，双方应首先本着诚实信用原则通过协商解决。协商不成的，任何一方均可向</w:t>
      </w:r>
      <w:r>
        <w:rPr>
          <w:rFonts w:hint="eastAsia" w:ascii="仿宋" w:hAnsi="仿宋" w:eastAsia="仿宋" w:cs="仿宋"/>
          <w:b/>
          <w:bCs/>
          <w:color w:val="000000"/>
          <w:sz w:val="21"/>
          <w:szCs w:val="21"/>
        </w:rPr>
        <w:t>被告所在地有管辖权的人民法院</w:t>
      </w:r>
      <w:r>
        <w:rPr>
          <w:rFonts w:hint="eastAsia" w:ascii="仿宋" w:hAnsi="仿宋" w:eastAsia="仿宋" w:cs="仿宋"/>
          <w:color w:val="000000"/>
          <w:sz w:val="21"/>
          <w:szCs w:val="21"/>
        </w:rPr>
        <w:t>提起诉讼。</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八、协议生效</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甲方通过代销机构网点柜面渠道签署本协议的，经甲方</w:t>
      </w:r>
      <w:r>
        <w:rPr>
          <w:rFonts w:hint="eastAsia" w:ascii="仿宋" w:hAnsi="仿宋" w:eastAsia="仿宋" w:cs="仿宋"/>
          <w:b/>
          <w:bCs/>
          <w:color w:val="000000"/>
          <w:sz w:val="21"/>
          <w:szCs w:val="21"/>
          <w:lang w:val="en-US" w:eastAsia="zh-CN"/>
        </w:rPr>
        <w:t>本人签字（如为个人投资者）或</w:t>
      </w:r>
      <w:r>
        <w:rPr>
          <w:rFonts w:hint="eastAsia" w:ascii="仿宋" w:hAnsi="仿宋" w:eastAsia="仿宋" w:cs="仿宋"/>
          <w:b/>
          <w:bCs/>
          <w:color w:val="000000"/>
          <w:sz w:val="21"/>
          <w:szCs w:val="21"/>
        </w:rPr>
        <w:t>法定代表人或授权代表签章并加盖甲方公章</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如为机构投资者</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后生效。代销机构另有规定的，以代销机构规定为准。</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pPr>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甲方知悉并确认，乙方对于理财产品项下甲方认/申购份额的确认即视为乙方对于本协议的签署和认可；甲方不得以乙方不在本协议中签章为由主张本协议不成立或不生效。</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甲方：</w:t>
      </w:r>
      <w:r>
        <w:rPr>
          <w:rFonts w:hint="eastAsia" w:ascii="仿宋" w:hAnsi="仿宋" w:eastAsia="仿宋" w:cs="仿宋"/>
          <w:color w:val="000000"/>
          <w:sz w:val="21"/>
          <w:szCs w:val="21"/>
          <w:lang w:val="en-US" w:eastAsia="zh-CN"/>
        </w:rPr>
        <w:t xml:space="preserve">                                           </w:t>
      </w:r>
      <w:r>
        <w:rPr>
          <w:rFonts w:hint="eastAsia" w:ascii="仿宋" w:hAnsi="仿宋" w:eastAsia="仿宋" w:cs="仿宋"/>
          <w:color w:val="000000"/>
          <w:sz w:val="21"/>
          <w:szCs w:val="21"/>
        </w:rPr>
        <w:t>乙方：华夏理财有限责任公司</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投资者自然人（签字或线上确认同意）：</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（或）法人或其他组织（盖章或线上确认同意）： </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法定代表人或授权代表（签章或线上确认同意）：</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right"/>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年</w:t>
      </w:r>
      <w:r>
        <w:rPr>
          <w:rFonts w:hint="eastAsia" w:ascii="仿宋" w:hAnsi="仿宋" w:eastAsia="仿宋" w:cs="仿宋"/>
          <w:color w:val="000000"/>
          <w:sz w:val="21"/>
          <w:szCs w:val="21"/>
          <w:lang w:val="en-US" w:eastAsia="zh-CN"/>
        </w:rPr>
        <w:t xml:space="preserve"> </w:t>
      </w:r>
      <w:r>
        <w:rPr>
          <w:rFonts w:hint="eastAsia" w:ascii="仿宋" w:hAnsi="仿宋" w:eastAsia="仿宋" w:cs="仿宋"/>
          <w:color w:val="000000"/>
          <w:sz w:val="21"/>
          <w:szCs w:val="21"/>
        </w:rPr>
        <w:t xml:space="preserve">  月   日       </w:t>
      </w:r>
    </w:p>
    <w:p>
      <w:pPr>
        <w:adjustRightInd w:val="0"/>
        <w:snapToGrid w:val="0"/>
        <w:ind w:firstLine="420" w:firstLineChars="200"/>
        <w:jc w:val="right"/>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          </w:t>
      </w:r>
    </w:p>
    <w:p>
      <w:pPr>
        <w:autoSpaceDE w:val="0"/>
        <w:autoSpaceDN w:val="0"/>
        <w:adjustRightInd w:val="0"/>
        <w:jc w:val="left"/>
        <w:rPr>
          <w:rFonts w:hint="eastAsia" w:ascii="仿宋" w:hAnsi="仿宋" w:eastAsia="仿宋" w:cs="仿宋"/>
          <w:sz w:val="21"/>
          <w:szCs w:val="21"/>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微软简仿宋">
    <w:panose1 w:val="00000000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N6UgBuQBAADPAwAADgAAAGRycy9lMm9Eb2MueG1srVNNrtMwEN4jcQfL e5q0EqiKmj4B1UNICJAeHMB1nMaS/zSeNikHgBuwYsOec/UcjJ2kDx6bt2CTzJ+/me/zeHMzWMNO CqL2rubLRcmZctI32h1q/vnT7bM1ZxGFa4TxTtX8rCK/2T59sulDpVa+86ZRwAjExaoPNe8QQ1UU UXbKirjwQTlKth6sQHLhUDQgekK3pliV5Yui99AE8FLFSNHdmOQTIjwG0Letlmrn5dEqhyMqKCOQ KMVOh8i3edq2VRI/tG1UyEzNiSnmLzUhe5++xXYjqgOI0Gk5jSAeM8IDTlZoR02vUDuBgh1B/wNl tQQffYsL6W0xEsmKEItl+UCbu04ElbmQ1DFcRY//D1a+P30EphvaBM6csHThl+/fLj9+XX5+Zcty 9Twp1IdYUeFdoFIcXvkhVU/xSMFEfGjBpj9RYpQnfc9XfdWATKZD69V6XVJKUm52CKe4Px4g4hvl LUtGzYEuMOsqTu8ijqVzSerm/K02huKiMu6vAGGOEZW3YDqdmIwTJwuH/TDR2PvmTOzoXVDXzsMX znraipo7egScmbeORE8LNBswG/vZEE7SwZojZ6P5GsdFOwbQhy6vXhoxhpdHpLkznTTG2JtkSA7d cxZk2sm0SH/6uer+HW5/A1BLAwQKAAAAAACHTuJAAAAAAAAAAAAAAAAABgAAAF9yZWxzL1BLAwQU AAAACACHTuJAihRmPNEAAACUAQAACwAAAF9yZWxzLy5yZWxzpZDBasMwDIbvg72D0X1xmsMYo04v o9Br6R7A2IpjGltGMtn69vMOg2X0tqN+oe8T//7wmRa1IkukbGDX9aAwO/IxBwPvl+PTCyipNnu7 UEYDNxQ4jI8P+zMutrYjmWMR1ShZDMy1lletxc2YrHRUMLfNRJxsbSMHXay72oB66Ptnzb8ZMG6Y 6uQN8MkPoC630sx/2Ck6JqGpdo6SpmmK7h5VB7Zlju7INuEbuUazHLAa8CwaB2pZ134EfV+/+6fe 00c+47rVfoeM649Xb7ocvwBQSwMEFAAAAAgAh07iQH7m5SD3AAAA4QEAABMAAABbQ29udGVudF9U eXBlc10ueG1slZFBTsMwEEX3SNzB8hYlTrtACCXpgrRLQKgcYGRPEotkbHlMaG+Pk7YbRJFY2jP/ vye73BzGQUwY2Dqq5CovpEDSzljqKvm+32UPUnAEMjA4wkoekeWmvr0p90ePLFKauJJ9jP5RKdY9 jsC580hp0rowQkzH0CkP+gM6VOuiuFfaUUSKWZw7ZF022MLnEMX2kK5PJgEHluLptDizKgneD1ZD TKZqIvODkp0JeUouO9xbz3dJQ6pfCfPkOuCce0lPE6xB8QohPsOYNJQJrIz7ooBT/nfJbDly5trW asybwE2KveF0sbrWjmvXOP3f8u2SunSr5YPqb1BLAQIUABQAAAAIAIdO4kB+5uUg9wAAAOEBAAAT AAAAAAAAAAEAIAAAAEwEAABbQ29udGVudF9UeXBlc10ueG1sUEsBAhQACgAAAAAAh07iQAAAAAAA AAAAAAAAAAYAAAAAAAAAAAAQAAAALgMAAF9yZWxzL1BLAQIUABQAAAAIAIdO4kCKFGY80QAAAJQB AAALAAAAAAAAAAEAIAAAAFIDAABfcmVscy8ucmVsc1BLAQIUAAoAAAAAAIdO4kAAAAAAAAAAAAAA AAAEAAAAAAAAAAAAEAAAAAAAAABkcnMvUEsBAhQAFAAAAAgAh07iQM6pebnPAAAABQEAAA8AAAAA AAAAAQAgAAAAIgAAAGRycy9kb3ducmV2LnhtbFBLAQIUABQAAAAIAIdO4kA3pSAG5AEAAM8DAAAO AAAAAAAAAAEAIAAAAB4BAABkcnMvZTJvRG9jLnhtbFBLBQYAAAAABgAGAFkBAAB0BQAAAAA= ">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spacing w:line="360" w:lineRule="auto"/>
      <w:rPr>
        <w:b/>
        <w:color w:val="FF0000"/>
        <w:szCs w:val="18"/>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晓">
    <w15:presenceInfo w15:providerId="None" w15:userId="王晓"/>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C37"/>
    <w:rsid w:val="0000491E"/>
    <w:rsid w:val="00030AF6"/>
    <w:rsid w:val="000328C6"/>
    <w:rsid w:val="00070F94"/>
    <w:rsid w:val="00095CD1"/>
    <w:rsid w:val="000F3AE5"/>
    <w:rsid w:val="00102B6D"/>
    <w:rsid w:val="00140742"/>
    <w:rsid w:val="00151B2B"/>
    <w:rsid w:val="001B66A4"/>
    <w:rsid w:val="001C0060"/>
    <w:rsid w:val="00211FC6"/>
    <w:rsid w:val="00214180"/>
    <w:rsid w:val="0025320A"/>
    <w:rsid w:val="00267C37"/>
    <w:rsid w:val="00286098"/>
    <w:rsid w:val="002D5DE3"/>
    <w:rsid w:val="00327A64"/>
    <w:rsid w:val="00347161"/>
    <w:rsid w:val="003C2557"/>
    <w:rsid w:val="003E4CF3"/>
    <w:rsid w:val="00420FD7"/>
    <w:rsid w:val="00484154"/>
    <w:rsid w:val="00491468"/>
    <w:rsid w:val="004C0293"/>
    <w:rsid w:val="004E0D33"/>
    <w:rsid w:val="004F5927"/>
    <w:rsid w:val="004F7997"/>
    <w:rsid w:val="00522B3D"/>
    <w:rsid w:val="005623E4"/>
    <w:rsid w:val="005771FE"/>
    <w:rsid w:val="00581EC5"/>
    <w:rsid w:val="005E55A9"/>
    <w:rsid w:val="005F4258"/>
    <w:rsid w:val="00633FF4"/>
    <w:rsid w:val="00654D9A"/>
    <w:rsid w:val="006756CA"/>
    <w:rsid w:val="006B6962"/>
    <w:rsid w:val="00730007"/>
    <w:rsid w:val="007359D3"/>
    <w:rsid w:val="00744E2A"/>
    <w:rsid w:val="0076695B"/>
    <w:rsid w:val="007B69FE"/>
    <w:rsid w:val="00823C18"/>
    <w:rsid w:val="00870821"/>
    <w:rsid w:val="00880660"/>
    <w:rsid w:val="008D2ED1"/>
    <w:rsid w:val="009166FF"/>
    <w:rsid w:val="0092078F"/>
    <w:rsid w:val="00947E7A"/>
    <w:rsid w:val="00952709"/>
    <w:rsid w:val="009673E0"/>
    <w:rsid w:val="0097581F"/>
    <w:rsid w:val="009A67D2"/>
    <w:rsid w:val="009C6EBD"/>
    <w:rsid w:val="009E038C"/>
    <w:rsid w:val="009F4DAD"/>
    <w:rsid w:val="00A077A9"/>
    <w:rsid w:val="00A261EE"/>
    <w:rsid w:val="00A62E76"/>
    <w:rsid w:val="00A65C8D"/>
    <w:rsid w:val="00AA2B1C"/>
    <w:rsid w:val="00AA7233"/>
    <w:rsid w:val="00AC754B"/>
    <w:rsid w:val="00AD0A44"/>
    <w:rsid w:val="00AD52D4"/>
    <w:rsid w:val="00AD6185"/>
    <w:rsid w:val="00B1551D"/>
    <w:rsid w:val="00B31D95"/>
    <w:rsid w:val="00B53B68"/>
    <w:rsid w:val="00B92DDB"/>
    <w:rsid w:val="00B932D3"/>
    <w:rsid w:val="00BF236B"/>
    <w:rsid w:val="00C01EED"/>
    <w:rsid w:val="00C031F5"/>
    <w:rsid w:val="00C06A54"/>
    <w:rsid w:val="00C161E6"/>
    <w:rsid w:val="00C906ED"/>
    <w:rsid w:val="00CD0225"/>
    <w:rsid w:val="00D101D7"/>
    <w:rsid w:val="00D1403A"/>
    <w:rsid w:val="00D77934"/>
    <w:rsid w:val="00D92508"/>
    <w:rsid w:val="00DB2836"/>
    <w:rsid w:val="00DB5D2D"/>
    <w:rsid w:val="00DE338E"/>
    <w:rsid w:val="00E00EE8"/>
    <w:rsid w:val="00E01CA8"/>
    <w:rsid w:val="00E03189"/>
    <w:rsid w:val="00E62AB2"/>
    <w:rsid w:val="00E96047"/>
    <w:rsid w:val="00EA4204"/>
    <w:rsid w:val="00EC52B2"/>
    <w:rsid w:val="00EE7253"/>
    <w:rsid w:val="00F16832"/>
    <w:rsid w:val="00F21DFD"/>
    <w:rsid w:val="00F40524"/>
    <w:rsid w:val="00F512E1"/>
    <w:rsid w:val="00F65A3B"/>
    <w:rsid w:val="00FA08DB"/>
    <w:rsid w:val="01893391"/>
    <w:rsid w:val="02FE752E"/>
    <w:rsid w:val="03DE7951"/>
    <w:rsid w:val="047E3593"/>
    <w:rsid w:val="08110D0C"/>
    <w:rsid w:val="08634AB6"/>
    <w:rsid w:val="0B560591"/>
    <w:rsid w:val="0CA536EC"/>
    <w:rsid w:val="0F9045C5"/>
    <w:rsid w:val="0FCC3883"/>
    <w:rsid w:val="10343482"/>
    <w:rsid w:val="10923EB0"/>
    <w:rsid w:val="124851F8"/>
    <w:rsid w:val="125C0352"/>
    <w:rsid w:val="13CA4493"/>
    <w:rsid w:val="13D96576"/>
    <w:rsid w:val="13ED29E4"/>
    <w:rsid w:val="14214CFC"/>
    <w:rsid w:val="14A13EE7"/>
    <w:rsid w:val="14C17206"/>
    <w:rsid w:val="1563777E"/>
    <w:rsid w:val="1674537C"/>
    <w:rsid w:val="16B44101"/>
    <w:rsid w:val="16F329B7"/>
    <w:rsid w:val="17471A69"/>
    <w:rsid w:val="17985B15"/>
    <w:rsid w:val="17A82770"/>
    <w:rsid w:val="1800179B"/>
    <w:rsid w:val="18BC20DD"/>
    <w:rsid w:val="19C6714B"/>
    <w:rsid w:val="1BFC6ECF"/>
    <w:rsid w:val="1DA249B4"/>
    <w:rsid w:val="1E8C7AF5"/>
    <w:rsid w:val="1F1C75E7"/>
    <w:rsid w:val="1F3B4A10"/>
    <w:rsid w:val="1F986561"/>
    <w:rsid w:val="1FC76361"/>
    <w:rsid w:val="201C3240"/>
    <w:rsid w:val="21FE0A53"/>
    <w:rsid w:val="2220390C"/>
    <w:rsid w:val="233F485D"/>
    <w:rsid w:val="237F133E"/>
    <w:rsid w:val="24AD4D8F"/>
    <w:rsid w:val="25B5026A"/>
    <w:rsid w:val="2601337A"/>
    <w:rsid w:val="27A26FAD"/>
    <w:rsid w:val="284568ED"/>
    <w:rsid w:val="28744CB2"/>
    <w:rsid w:val="2AAD7DB1"/>
    <w:rsid w:val="2AFF69DA"/>
    <w:rsid w:val="2B3303F1"/>
    <w:rsid w:val="2C2262F5"/>
    <w:rsid w:val="2D213F62"/>
    <w:rsid w:val="2D782A6A"/>
    <w:rsid w:val="2ED167D0"/>
    <w:rsid w:val="2ED848A5"/>
    <w:rsid w:val="31B5567C"/>
    <w:rsid w:val="32265A97"/>
    <w:rsid w:val="32756516"/>
    <w:rsid w:val="336F094B"/>
    <w:rsid w:val="34400112"/>
    <w:rsid w:val="35936983"/>
    <w:rsid w:val="37425D5A"/>
    <w:rsid w:val="37775F44"/>
    <w:rsid w:val="37F45271"/>
    <w:rsid w:val="38925466"/>
    <w:rsid w:val="38CF43FC"/>
    <w:rsid w:val="39896D23"/>
    <w:rsid w:val="3B077069"/>
    <w:rsid w:val="3B1724D8"/>
    <w:rsid w:val="3B5C0497"/>
    <w:rsid w:val="3C313482"/>
    <w:rsid w:val="3CA0578A"/>
    <w:rsid w:val="3CEA5208"/>
    <w:rsid w:val="3E743AAC"/>
    <w:rsid w:val="3EBC0957"/>
    <w:rsid w:val="3F1921D6"/>
    <w:rsid w:val="40513468"/>
    <w:rsid w:val="42E51914"/>
    <w:rsid w:val="42F815B8"/>
    <w:rsid w:val="430973C8"/>
    <w:rsid w:val="43FE121A"/>
    <w:rsid w:val="448055CB"/>
    <w:rsid w:val="4583496A"/>
    <w:rsid w:val="45B173DD"/>
    <w:rsid w:val="45D63146"/>
    <w:rsid w:val="463C6590"/>
    <w:rsid w:val="47521099"/>
    <w:rsid w:val="478E15B9"/>
    <w:rsid w:val="47D2000A"/>
    <w:rsid w:val="484E1C90"/>
    <w:rsid w:val="4894520F"/>
    <w:rsid w:val="49CC4070"/>
    <w:rsid w:val="4A4C1515"/>
    <w:rsid w:val="4A8670E7"/>
    <w:rsid w:val="4A8B36BB"/>
    <w:rsid w:val="4B3A57DF"/>
    <w:rsid w:val="4B677A30"/>
    <w:rsid w:val="4D3A74BA"/>
    <w:rsid w:val="4E506F8B"/>
    <w:rsid w:val="4F0B5099"/>
    <w:rsid w:val="4F463F80"/>
    <w:rsid w:val="4F84248A"/>
    <w:rsid w:val="4FA953CE"/>
    <w:rsid w:val="4FB46547"/>
    <w:rsid w:val="4FB8026F"/>
    <w:rsid w:val="4FDE12E4"/>
    <w:rsid w:val="51B51CEE"/>
    <w:rsid w:val="52736386"/>
    <w:rsid w:val="52F15D13"/>
    <w:rsid w:val="535C6D9E"/>
    <w:rsid w:val="53903E31"/>
    <w:rsid w:val="542E1214"/>
    <w:rsid w:val="542E3584"/>
    <w:rsid w:val="544323B5"/>
    <w:rsid w:val="55687CDA"/>
    <w:rsid w:val="557B126F"/>
    <w:rsid w:val="558B0D2F"/>
    <w:rsid w:val="55BC38B4"/>
    <w:rsid w:val="56152EB5"/>
    <w:rsid w:val="56B9029A"/>
    <w:rsid w:val="56C9369B"/>
    <w:rsid w:val="5700696E"/>
    <w:rsid w:val="580D21D0"/>
    <w:rsid w:val="58111B8A"/>
    <w:rsid w:val="59FF6C06"/>
    <w:rsid w:val="5B1B7206"/>
    <w:rsid w:val="5B625192"/>
    <w:rsid w:val="5B65654A"/>
    <w:rsid w:val="5C066D50"/>
    <w:rsid w:val="5F122957"/>
    <w:rsid w:val="5F1A3317"/>
    <w:rsid w:val="5F444C36"/>
    <w:rsid w:val="5F990106"/>
    <w:rsid w:val="5FC16E2D"/>
    <w:rsid w:val="5FDC6F14"/>
    <w:rsid w:val="60062A05"/>
    <w:rsid w:val="602D2405"/>
    <w:rsid w:val="60385704"/>
    <w:rsid w:val="60C76E56"/>
    <w:rsid w:val="614F7826"/>
    <w:rsid w:val="629264FC"/>
    <w:rsid w:val="64D77000"/>
    <w:rsid w:val="64FF58AC"/>
    <w:rsid w:val="659A1A6C"/>
    <w:rsid w:val="67897939"/>
    <w:rsid w:val="678B7FB4"/>
    <w:rsid w:val="69EE0A7F"/>
    <w:rsid w:val="6A740B44"/>
    <w:rsid w:val="6A7503AE"/>
    <w:rsid w:val="6C697ADA"/>
    <w:rsid w:val="6CCD0E47"/>
    <w:rsid w:val="6D76761C"/>
    <w:rsid w:val="6DA3525A"/>
    <w:rsid w:val="6E354AE0"/>
    <w:rsid w:val="6E8150EC"/>
    <w:rsid w:val="6EF86C3D"/>
    <w:rsid w:val="703F75F8"/>
    <w:rsid w:val="706F55DD"/>
    <w:rsid w:val="709A6183"/>
    <w:rsid w:val="7261339F"/>
    <w:rsid w:val="73E32AD7"/>
    <w:rsid w:val="741C3776"/>
    <w:rsid w:val="7456598F"/>
    <w:rsid w:val="74963C6B"/>
    <w:rsid w:val="74AB059A"/>
    <w:rsid w:val="763F7A45"/>
    <w:rsid w:val="78143172"/>
    <w:rsid w:val="782B39EB"/>
    <w:rsid w:val="79021DB8"/>
    <w:rsid w:val="79BB5955"/>
    <w:rsid w:val="79C21F97"/>
    <w:rsid w:val="79C4073C"/>
    <w:rsid w:val="79C64D84"/>
    <w:rsid w:val="7A1F63D0"/>
    <w:rsid w:val="7A451D15"/>
    <w:rsid w:val="7B4C1091"/>
    <w:rsid w:val="7BFC7C8C"/>
    <w:rsid w:val="7C560CF6"/>
    <w:rsid w:val="7CCB6B01"/>
    <w:rsid w:val="7D2B70D3"/>
    <w:rsid w:val="7D5A17A0"/>
    <w:rsid w:val="7D6D0E25"/>
    <w:rsid w:val="7DDB5570"/>
    <w:rsid w:val="7E6500BF"/>
    <w:rsid w:val="7F37B6F0"/>
    <w:rsid w:val="7F756813"/>
    <w:rsid w:val="7F795D11"/>
    <w:rsid w:val="7FE04167"/>
    <w:rsid w:val="FC9F374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uiPriority w:val="0"/>
    <w:rPr>
      <w:sz w:val="18"/>
      <w:szCs w:val="18"/>
    </w:rPr>
  </w:style>
  <w:style w:type="paragraph" w:styleId="5">
    <w:name w:val="footer"/>
    <w:basedOn w:val="1"/>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6"/>
    <w:qFormat/>
    <w:uiPriority w:val="0"/>
    <w:rPr>
      <w:b/>
      <w:bCs/>
    </w:rPr>
  </w:style>
  <w:style w:type="table" w:styleId="9">
    <w:name w:val="Table Grid"/>
    <w:basedOn w:val="8"/>
    <w:qFormat/>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Char Char Char Char Char Char Char Char Char Char Char Char"/>
    <w:basedOn w:val="1"/>
    <w:link w:val="10"/>
    <w:qFormat/>
    <w:uiPriority w:val="0"/>
    <w:pPr>
      <w:widowControl/>
      <w:spacing w:after="160" w:line="240" w:lineRule="exact"/>
      <w:jc w:val="left"/>
    </w:pPr>
    <w:rPr>
      <w:rFonts w:ascii="Tahoma" w:hAnsi="Tahoma" w:cs="Tahoma"/>
      <w:szCs w:val="21"/>
    </w:rPr>
  </w:style>
  <w:style w:type="character" w:styleId="12">
    <w:name w:val="Hyperlink"/>
    <w:unhideWhenUsed/>
    <w:qFormat/>
    <w:uiPriority w:val="99"/>
    <w:rPr>
      <w:color w:val="0000FF"/>
      <w:u w:val="single"/>
    </w:rPr>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页眉 Char"/>
    <w:link w:val="6"/>
    <w:qFormat/>
    <w:uiPriority w:val="99"/>
    <w:rPr>
      <w:kern w:val="2"/>
      <w:sz w:val="18"/>
    </w:rPr>
  </w:style>
  <w:style w:type="character" w:customStyle="1" w:styleId="16">
    <w:name w:val="批注主题 Char"/>
    <w:link w:val="7"/>
    <w:qFormat/>
    <w:uiPriority w:val="0"/>
    <w:rPr>
      <w:b/>
      <w:bCs/>
      <w:kern w:val="2"/>
      <w:sz w:val="21"/>
      <w:szCs w:val="24"/>
    </w:rPr>
  </w:style>
  <w:style w:type="character" w:customStyle="1" w:styleId="17">
    <w:name w:val="grame"/>
    <w:qFormat/>
    <w:uiPriority w:val="0"/>
  </w:style>
  <w:style w:type="paragraph" w:customStyle="1" w:styleId="18">
    <w:name w:val="default"/>
    <w:basedOn w:val="1"/>
    <w:qFormat/>
    <w:uiPriority w:val="0"/>
    <w:pPr>
      <w:widowControl/>
      <w:spacing w:before="100" w:beforeAutospacing="1" w:after="100" w:afterAutospacing="1" w:line="240" w:lineRule="auto"/>
      <w:jc w:val="left"/>
    </w:pPr>
    <w:rPr>
      <w:rFonts w:ascii="宋体" w:hAnsi="宋体" w:cs="宋体"/>
      <w:kern w:val="0"/>
      <w:sz w:val="24"/>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people.xml" Type="http://schemas.microsoft.com/office/2011/relationships/people"/><Relationship Id="rId2" Target="settings.xml" Type="http://schemas.openxmlformats.org/officeDocument/2006/relationships/settings"/><Relationship Id="rId3" Target="footnotes.xml" Type="http://schemas.openxmlformats.org/officeDocument/2006/relationships/footnotes"/><Relationship Id="rId4" Target="endnotes.xml" Type="http://schemas.openxmlformats.org/officeDocument/2006/relationships/endnotes"/><Relationship Id="rId5" Target="header1.xml" Type="http://schemas.openxmlformats.org/officeDocument/2006/relationships/header"/><Relationship Id="rId6" Target="footer1.xml" Type="http://schemas.openxmlformats.org/officeDocument/2006/relationships/footer"/><Relationship Id="rId7" Target="theme/theme1.xml" Type="http://schemas.openxmlformats.org/officeDocument/2006/relationships/theme"/><Relationship Id="rId8" Target="../customXml/item1.xml" Type="http://schemas.openxmlformats.org/officeDocument/2006/relationships/customXml"/><Relationship Id="rId9" Target="fontTable.xml" Type="http://schemas.openxmlformats.org/officeDocument/2006/relationships/fontTable"/></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华夏银行总行</Company>
  <Pages>12</Pages>
  <Words>920</Words>
  <Characters>5248</Characters>
  <Lines>43</Lines>
  <Paragraphs>12</Paragraphs>
  <TotalTime>0</TotalTime>
  <ScaleCrop>false</ScaleCrop>
  <LinksUpToDate>false</LinksUpToDate>
  <CharactersWithSpaces>6156</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2020-11-05T15:31:00Z</dcterms:created>
  <dc:creator>ylh</dc:creator>
  <cp:lastModifiedBy>Administrator</cp:lastModifiedBy>
  <dcterms:modified xsi:type="dcterms:W3CDTF">2025-12-04T13:57:52Z</dcterms:modified>
  <dc:title>本产品由华夏理财有限责任公司发行与管理，销售机构不承担产品的投资、兑付和风险管理责任</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BF9ED09596DA49628743F20EFD9F8CF1</vt:lpwstr>
  </property>
</Properties>
</file>