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黑体" w:cs="黑体" w:eastAsia="黑体" w:hAnsi="黑体" w:hint="eastAsia"/>
          <w:b/>
          <w:bCs/>
          <w:sz w:val="36"/>
          <w:szCs w:val="36"/>
        </w:rPr>
      </w:pP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关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于</w:t>
      </w: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杭银理财幸福99天添益（安享优选）1期理财H款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（</w:t>
      </w: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TYG1D2201H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）</w:t>
      </w: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提前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终止的公告</w:t>
      </w: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 xml:space="preserve">尊敬的投资者： </w:t>
      </w:r>
    </w:p>
    <w:p>
      <w:pPr>
        <w:ind w:firstLine="600" w:firstLineChars="200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杭银理财幸福99天添益（安享优选）1期理财H款</w:t>
      </w:r>
      <w:r>
        <w:rPr>
          <w:rFonts w:ascii="宋体" w:cs="宋体" w:eastAsia="宋体" w:hAnsi="宋体" w:hint="eastAsia"/>
          <w:sz w:val="30"/>
          <w:szCs w:val="30"/>
        </w:rPr>
        <w:t>（产品代码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TYG1D2201H</w:t>
      </w:r>
      <w:r>
        <w:rPr>
          <w:rFonts w:ascii="宋体" w:cs="宋体" w:eastAsia="宋体" w:hAnsi="宋体" w:hint="eastAsia"/>
          <w:sz w:val="30"/>
          <w:szCs w:val="30"/>
        </w:rPr>
        <w:t xml:space="preserve">）于 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2024-06-27</w:t>
      </w:r>
      <w:r>
        <w:rPr>
          <w:rFonts w:ascii="宋体" w:cs="宋体" w:eastAsia="宋体" w:hAnsi="宋体" w:hint="eastAsia"/>
          <w:sz w:val="30"/>
          <w:szCs w:val="30"/>
        </w:rPr>
        <w:t>成立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。</w:t>
      </w:r>
      <w:r>
        <w:rPr>
          <w:rFonts w:ascii="宋体" w:cs="宋体" w:eastAsia="宋体" w:hAnsi="宋体" w:hint="eastAsia"/>
          <w:sz w:val="30"/>
          <w:szCs w:val="30"/>
        </w:rPr>
        <w:t>根据市场及投</w:t>
      </w:r>
      <w:bookmarkStart w:id="0" w:name="_GoBack"/>
      <w:bookmarkEnd w:id="0"/>
      <w:r>
        <w:rPr>
          <w:rFonts w:ascii="宋体" w:cs="宋体" w:eastAsia="宋体" w:hAnsi="宋体" w:hint="eastAsia"/>
          <w:sz w:val="30"/>
          <w:szCs w:val="30"/>
        </w:rPr>
        <w:t>资运作情况，经审慎评估，我司拟定于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2025年12月1日</w:t>
      </w:r>
      <w:r>
        <w:rPr>
          <w:rFonts w:ascii="宋体" w:cs="宋体" w:eastAsia="宋体" w:hAnsi="宋体" w:hint="eastAsia"/>
          <w:sz w:val="30"/>
          <w:szCs w:val="30"/>
        </w:rPr>
        <w:t xml:space="preserve">终止该理财产品。 </w:t>
      </w:r>
    </w:p>
    <w:p>
      <w:pPr>
        <w:ind w:firstLine="600" w:firstLineChars="200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>杭银理财将于产品终止日后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3</w:t>
      </w:r>
      <w:r>
        <w:rPr>
          <w:rFonts w:ascii="宋体" w:cs="宋体" w:eastAsia="宋体" w:hAnsi="宋体" w:hint="eastAsia"/>
          <w:sz w:val="30"/>
          <w:szCs w:val="30"/>
        </w:rPr>
        <w:t>个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交易</w:t>
      </w:r>
      <w:r>
        <w:rPr>
          <w:rFonts w:ascii="宋体" w:cs="宋体" w:eastAsia="宋体" w:hAnsi="宋体" w:hint="eastAsia"/>
          <w:sz w:val="30"/>
          <w:szCs w:val="30"/>
        </w:rPr>
        <w:t>日内，根据实际投资结果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将</w:t>
      </w:r>
      <w:r>
        <w:rPr>
          <w:rFonts w:ascii="宋体" w:cs="宋体" w:eastAsia="宋体" w:hAnsi="宋体" w:hint="eastAsia"/>
          <w:sz w:val="30"/>
          <w:szCs w:val="30"/>
        </w:rPr>
        <w:t xml:space="preserve">理财本金及收益（如有）划入投资者授权指定的理财账户。 </w:t>
      </w:r>
      <w:r>
        <w:rPr>
          <w:rFonts w:ascii="宋体" w:cs="宋体" w:eastAsia="宋体" w:hAnsi="宋体" w:hint="eastAsia"/>
          <w:sz w:val="24"/>
          <w:szCs w:val="24"/>
          <w:lang w:eastAsia="zh-CN" w:val="en-US"/>
        </w:rPr>
        <w:t>注：</w:t>
      </w:r>
      <w:r>
        <w:rPr>
          <w:rFonts w:ascii="宋体" w:cs="宋体" w:eastAsia="宋体" w:hAnsi="宋体" w:hint="eastAsia"/>
          <w:sz w:val="24"/>
          <w:szCs w:val="24"/>
        </w:rPr>
        <w:t>终止日至资金实际到账日之间，投资者资金不计息</w:t>
      </w:r>
      <w:r>
        <w:rPr>
          <w:rFonts w:ascii="宋体" w:cs="宋体" w:eastAsia="宋体" w:hAnsi="宋体" w:hint="eastAsia"/>
          <w:sz w:val="21"/>
          <w:szCs w:val="21"/>
        </w:rPr>
        <w:t>。</w:t>
      </w:r>
    </w:p>
    <w:p>
      <w:pPr>
        <w:ind w:firstLine="600" w:firstLineChars="200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 xml:space="preserve">感谢您一直以来对杭银理财的支持，敬请继续关注杭银理财 的理财产品。 </w:t>
      </w: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>杭银理财有限责任公司</w:t>
      </w: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  <w:lang w:val="en-US"/>
        </w:rPr>
      </w:pP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2025年11月24日</w:t>
      </w:r>
    </w:p>
    <w:sectPr>
      <w:pgSz w:h="16838" w:w="11906"/>
      <w:pgMar w:bottom="1440" w:footer="992" w:gutter="0" w:header="851" w:left="1800" w:right="1800" w:top="1440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3D92635C"/>
    <w:rsid w:val="1379754E"/>
    <w:rsid w:val="23CD2045"/>
    <w:rsid w:val="3D92635C"/>
    <w:rsid w:val="46B300A5"/>
    <w:rsid w:val="4EBF136B"/>
    <w:rsid w:val="53F92E99"/>
    <w:rsid w:val="64A0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uiPriority="0"/>
    <w:lsdException w:name="heading 3" w:qFormat="1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default="1" w:styleId="3" w:type="character">
    <w:name w:val="Default Paragraph Font"/>
    <w:semiHidden/>
    <w:qFormat/>
    <w:uiPriority w:val="0"/>
  </w:style>
  <w:style w:default="1" w:styleId="2" w:type="table">
    <w:name w:val="Normal Table"/>
    <w:semiHidden/>
    <w:qFormat/>
    <w:uiPriority w:val="0"/>
    <w:tblPr>
      <w:tblLayout w:type="fixed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2024-03-19T02:28:00Z</dcterms:created>
  <dc:creator>陈舒虹</dc:creator>
  <cp:lastModifiedBy>Administrator</cp:lastModifiedBy>
  <dcterms:modified xsi:type="dcterms:W3CDTF">2025-07-29T03:31:12Z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KSOProductBuildVer" pid="2">
    <vt:lpwstr>2052-11.8.2.8411</vt:lpwstr>
  </property>
  <property fmtid="{D5CDD505-2E9C-101B-9397-08002B2CF9AE}" name="ICV" pid="3">
    <vt:lpwstr>F433D8C48E1549429518157C1B934787_11</vt:lpwstr>
  </property>
</Properties>
</file>