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杭银理财幸福99丰裕固收（混合估值）762天23186期理财B款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杭银理财幸福99丰裕固收（混合估值）762天23186期理财B款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2025年11月26日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杭银理财幸福99丰裕固收（混合估值）762天23186期理财B款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FYG23186B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Z7002223000268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2023-10-26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2025-11-26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762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4.2439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972.02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2025年11月27日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