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center"/>
        <w:rPr>
          <w:rFonts w:ascii="Times New Roman" w:hAnsi="Times New Roman"/>
          <w:b/>
          <w:sz w:val="30"/>
          <w:szCs w:val="30"/>
        </w:rPr>
      </w:pPr>
      <w:bookmarkStart w:id="0" w:name="_GoBack"/>
      <w:bookmarkEnd w:id="0"/>
      <w:r>
        <w:rPr>
          <w:rFonts w:ascii="Times New Roman" w:hAnsi="Times New Roman"/>
          <w:b/>
          <w:sz w:val="30"/>
          <w:szCs w:val="30"/>
        </w:rPr>
        <w:t>理财产品代理销售协议书</w:t>
      </w:r>
    </w:p>
    <w:p>
      <w:pPr>
        <w:snapToGrid w:val="0"/>
        <w:spacing w:line="276" w:lineRule="auto"/>
        <w:jc w:val="left"/>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版本号：XMYH-</w:t>
      </w:r>
      <w:r>
        <w:rPr>
          <w:rFonts w:hint="eastAsia" w:ascii="宋体" w:hAnsi="宋体" w:eastAsia="宋体" w:cs="宋体"/>
          <w:b/>
          <w:bCs w:val="0"/>
          <w:sz w:val="21"/>
          <w:szCs w:val="21"/>
          <w:lang w:val="en-US" w:eastAsia="zh-CN"/>
        </w:rPr>
        <w:t>DL</w:t>
      </w:r>
      <w:r>
        <w:rPr>
          <w:rFonts w:hint="eastAsia" w:ascii="宋体" w:hAnsi="宋体" w:cs="宋体"/>
          <w:b/>
          <w:bCs w:val="0"/>
          <w:sz w:val="21"/>
          <w:szCs w:val="21"/>
          <w:lang w:val="en-US" w:eastAsia="zh-CN"/>
        </w:rPr>
        <w:t>XSXYS</w:t>
      </w:r>
      <w:r>
        <w:rPr>
          <w:rFonts w:hint="eastAsia" w:ascii="宋体" w:hAnsi="宋体" w:eastAsia="宋体" w:cs="宋体"/>
          <w:b/>
          <w:bCs w:val="0"/>
          <w:sz w:val="21"/>
          <w:szCs w:val="21"/>
          <w:lang w:val="en-US" w:eastAsia="zh-CN"/>
        </w:rPr>
        <w:t>-</w:t>
      </w:r>
      <w:r>
        <w:rPr>
          <w:rFonts w:hint="eastAsia" w:ascii="宋体" w:hAnsi="宋体" w:cs="宋体"/>
          <w:b/>
          <w:bCs w:val="0"/>
          <w:sz w:val="21"/>
          <w:szCs w:val="21"/>
          <w:lang w:val="en-US" w:eastAsia="zh-CN"/>
        </w:rPr>
        <w:t>202510</w:t>
      </w:r>
    </w:p>
    <w:p>
      <w:pPr>
        <w:snapToGrid w:val="0"/>
        <w:spacing w:line="276" w:lineRule="auto"/>
        <w:jc w:val="center"/>
        <w:rPr>
          <w:rFonts w:ascii="Times New Roman" w:hAnsi="Times New Roman" w:eastAsia="仿宋_GB2312"/>
          <w:szCs w:val="21"/>
        </w:rPr>
      </w:pPr>
    </w:p>
    <w:p>
      <w:pPr>
        <w:autoSpaceDE w:val="0"/>
        <w:autoSpaceDN w:val="0"/>
        <w:adjustRightInd w:val="0"/>
        <w:snapToGrid w:val="0"/>
        <w:spacing w:line="276" w:lineRule="auto"/>
        <w:ind w:firstLine="396" w:firstLineChars="200"/>
        <w:rPr>
          <w:rFonts w:ascii="Times New Roman" w:hAnsi="Times New Roman"/>
          <w:spacing w:val="-6"/>
          <w:szCs w:val="21"/>
        </w:rPr>
      </w:pPr>
      <w:r>
        <w:rPr>
          <w:rFonts w:ascii="Times New Roman" w:hAnsi="Times New Roman"/>
          <w:spacing w:val="-6"/>
          <w:szCs w:val="21"/>
        </w:rPr>
        <w:t>本协议的甲方指</w:t>
      </w:r>
      <w:r>
        <w:rPr>
          <w:rFonts w:hint="eastAsia" w:ascii="Times New Roman" w:hAnsi="Times New Roman"/>
          <w:spacing w:val="-6"/>
          <w:szCs w:val="21"/>
          <w:lang w:val="en-US" w:eastAsia="zh-CN"/>
        </w:rPr>
        <w:t>个人</w:t>
      </w:r>
      <w:r>
        <w:rPr>
          <w:rFonts w:hint="eastAsia" w:ascii="Times New Roman" w:hAnsi="Times New Roman"/>
          <w:spacing w:val="-6"/>
          <w:szCs w:val="21"/>
        </w:rPr>
        <w:t>投资者</w:t>
      </w:r>
      <w:r>
        <w:rPr>
          <w:rFonts w:ascii="Times New Roman" w:hAnsi="Times New Roman"/>
          <w:spacing w:val="-6"/>
          <w:szCs w:val="21"/>
        </w:rPr>
        <w:t>，乙方指</w:t>
      </w:r>
      <w:r>
        <w:rPr>
          <w:rFonts w:hint="eastAsia" w:ascii="Times New Roman" w:hAnsi="Times New Roman"/>
          <w:spacing w:val="-6"/>
          <w:szCs w:val="21"/>
          <w:highlight w:val="none"/>
          <w:lang w:val="en-US" w:eastAsia="zh-CN"/>
        </w:rPr>
        <w:t>厦门银行股份有限公司</w:t>
      </w:r>
      <w:r>
        <w:rPr>
          <w:rFonts w:ascii="Times New Roman" w:hAnsi="Times New Roman"/>
          <w:spacing w:val="-6"/>
          <w:szCs w:val="21"/>
          <w:highlight w:val="none"/>
        </w:rPr>
        <w:t>。</w:t>
      </w:r>
    </w:p>
    <w:p>
      <w:pPr>
        <w:autoSpaceDE w:val="0"/>
        <w:autoSpaceDN w:val="0"/>
        <w:adjustRightInd w:val="0"/>
        <w:snapToGrid w:val="0"/>
        <w:spacing w:line="276" w:lineRule="auto"/>
        <w:ind w:firstLine="396" w:firstLineChars="200"/>
        <w:rPr>
          <w:rFonts w:ascii="Times New Roman" w:hAnsi="Times New Roman"/>
          <w:spacing w:val="-6"/>
          <w:szCs w:val="21"/>
        </w:rPr>
      </w:pPr>
      <w:r>
        <w:rPr>
          <w:rFonts w:ascii="Times New Roman" w:hAnsi="Times New Roman"/>
          <w:spacing w:val="-6"/>
          <w:szCs w:val="21"/>
        </w:rPr>
        <w:t>乙方为理财产品代理销售机构，接受理财产品发行机构</w:t>
      </w:r>
      <w:r>
        <w:rPr>
          <w:rFonts w:hint="eastAsia" w:ascii="Times New Roman" w:hAnsi="Times New Roman"/>
          <w:spacing w:val="-6"/>
          <w:szCs w:val="21"/>
          <w:lang w:val="en-US" w:eastAsia="zh-CN"/>
        </w:rPr>
        <w:t>(管理人)</w:t>
      </w:r>
      <w:r>
        <w:rPr>
          <w:rFonts w:ascii="Times New Roman" w:hAnsi="Times New Roman"/>
          <w:spacing w:val="-6"/>
          <w:szCs w:val="21"/>
        </w:rPr>
        <w:t>的委托</w:t>
      </w:r>
      <w:r>
        <w:rPr>
          <w:rFonts w:hint="eastAsia" w:ascii="Times New Roman" w:hAnsi="Times New Roman"/>
          <w:spacing w:val="-6"/>
          <w:szCs w:val="21"/>
          <w:lang w:eastAsia="zh-CN"/>
        </w:rPr>
        <w:t>，</w:t>
      </w:r>
      <w:r>
        <w:rPr>
          <w:rFonts w:ascii="Times New Roman" w:hAnsi="Times New Roman"/>
          <w:spacing w:val="-6"/>
          <w:szCs w:val="21"/>
        </w:rPr>
        <w:t>销售其发行</w:t>
      </w:r>
      <w:r>
        <w:rPr>
          <w:rFonts w:hint="eastAsia" w:ascii="Times New Roman" w:hAnsi="Times New Roman"/>
          <w:spacing w:val="-6"/>
          <w:szCs w:val="21"/>
        </w:rPr>
        <w:t>与管理</w:t>
      </w:r>
      <w:r>
        <w:rPr>
          <w:rFonts w:ascii="Times New Roman" w:hAnsi="Times New Roman"/>
          <w:spacing w:val="-6"/>
          <w:szCs w:val="21"/>
        </w:rPr>
        <w:t>的理财产品，甲方自愿购买乙方代理销售的理财产品。为规范甲乙双方在理财产品代理销售业务中权利和义务，经甲乙双方协商一致，达成协议如下：</w:t>
      </w:r>
    </w:p>
    <w:p>
      <w:pPr>
        <w:autoSpaceDE w:val="0"/>
        <w:autoSpaceDN w:val="0"/>
        <w:adjustRightInd w:val="0"/>
        <w:snapToGrid w:val="0"/>
        <w:spacing w:line="276" w:lineRule="auto"/>
        <w:ind w:firstLine="398" w:firstLineChars="200"/>
        <w:rPr>
          <w:rFonts w:ascii="Times New Roman" w:hAnsi="Times New Roman"/>
          <w:b/>
          <w:bCs/>
          <w:spacing w:val="-6"/>
          <w:szCs w:val="21"/>
        </w:rPr>
      </w:pPr>
      <w:r>
        <w:rPr>
          <w:rFonts w:ascii="Times New Roman" w:hAnsi="Times New Roman"/>
          <w:b/>
          <w:bCs/>
          <w:spacing w:val="-6"/>
          <w:szCs w:val="21"/>
        </w:rPr>
        <w:t>一、重要提示</w:t>
      </w:r>
    </w:p>
    <w:p>
      <w:pPr>
        <w:autoSpaceDE w:val="0"/>
        <w:autoSpaceDN w:val="0"/>
        <w:adjustRightInd w:val="0"/>
        <w:snapToGrid w:val="0"/>
        <w:spacing w:line="276" w:lineRule="auto"/>
        <w:ind w:firstLine="398" w:firstLineChars="200"/>
        <w:rPr>
          <w:rFonts w:ascii="Times New Roman" w:hAnsi="Times New Roman"/>
          <w:szCs w:val="21"/>
        </w:rPr>
      </w:pPr>
      <w:r>
        <w:rPr>
          <w:rFonts w:ascii="Times New Roman" w:hAnsi="Times New Roman"/>
          <w:b/>
          <w:bCs/>
          <w:spacing w:val="-6"/>
          <w:szCs w:val="21"/>
        </w:rPr>
        <w:t>1.风险揭示：</w:t>
      </w:r>
      <w:r>
        <w:rPr>
          <w:rFonts w:ascii="Times New Roman" w:hAnsi="Times New Roman"/>
          <w:b/>
          <w:bCs/>
          <w:szCs w:val="21"/>
        </w:rPr>
        <w:t>理财非存款、产品有风险、投资须谨慎。</w:t>
      </w:r>
      <w:r>
        <w:rPr>
          <w:rFonts w:ascii="Times New Roman" w:hAnsi="Times New Roman"/>
          <w:szCs w:val="21"/>
        </w:rPr>
        <w:t>本产品可能面临信用风险、市场风险、流动性风险等风险因素，具体详见销售文件。甲方在签署本协议前，应仔细阅读并充分理解拟认购理财产品销售文件的详细条款，并充分了解投资者的全部权利与义务以及产品可能发生的风险。其中，销售文件包括《理财产品投资协议书》、《代理销售协议书》、《理财产品说明书》、《风险揭示书》、《投资者权益须知》等。</w:t>
      </w:r>
    </w:p>
    <w:p>
      <w:pPr>
        <w:autoSpaceDE w:val="0"/>
        <w:autoSpaceDN w:val="0"/>
        <w:adjustRightInd w:val="0"/>
        <w:snapToGrid w:val="0"/>
        <w:spacing w:line="276" w:lineRule="auto"/>
        <w:ind w:firstLine="396" w:firstLineChars="200"/>
        <w:rPr>
          <w:rFonts w:ascii="Times New Roman" w:hAnsi="Times New Roman"/>
          <w:spacing w:val="-6"/>
          <w:szCs w:val="21"/>
        </w:rPr>
      </w:pPr>
      <w:r>
        <w:rPr>
          <w:rFonts w:ascii="Times New Roman" w:hAnsi="Times New Roman"/>
          <w:spacing w:val="-6"/>
          <w:szCs w:val="21"/>
        </w:rPr>
        <w:t>2.</w:t>
      </w:r>
      <w:r>
        <w:rPr>
          <w:rFonts w:ascii="Times New Roman" w:hAnsi="Times New Roman"/>
          <w:b/>
          <w:bCs/>
          <w:spacing w:val="-6"/>
          <w:szCs w:val="21"/>
        </w:rPr>
        <w:t>本产品</w:t>
      </w:r>
      <w:r>
        <w:rPr>
          <w:rFonts w:hint="eastAsia" w:ascii="Times New Roman" w:hAnsi="Times New Roman"/>
          <w:b/>
          <w:bCs/>
          <w:spacing w:val="-6"/>
          <w:szCs w:val="21"/>
          <w:lang w:val="en-US" w:eastAsia="zh-CN"/>
        </w:rPr>
        <w:t>由产品发行机构(管理人)发行与管理，</w:t>
      </w:r>
      <w:r>
        <w:rPr>
          <w:rFonts w:ascii="Times New Roman" w:hAnsi="Times New Roman"/>
          <w:b/>
          <w:bCs/>
          <w:spacing w:val="-6"/>
          <w:szCs w:val="21"/>
        </w:rPr>
        <w:t>乙方</w:t>
      </w:r>
      <w:r>
        <w:rPr>
          <w:rFonts w:hint="eastAsia" w:ascii="Times New Roman" w:hAnsi="Times New Roman"/>
          <w:b/>
          <w:bCs/>
          <w:spacing w:val="-6"/>
          <w:szCs w:val="21"/>
        </w:rPr>
        <w:t>作为代销机构不承担产品的投资和兑付责任。</w:t>
      </w:r>
      <w:r>
        <w:rPr>
          <w:rFonts w:ascii="Times New Roman" w:hAnsi="Times New Roman"/>
          <w:b/>
          <w:bCs/>
          <w:spacing w:val="-6"/>
          <w:szCs w:val="21"/>
        </w:rPr>
        <w:t>对本产品的业绩不做任何保证。</w:t>
      </w:r>
      <w:r>
        <w:rPr>
          <w:rFonts w:ascii="Times New Roman" w:hAnsi="Times New Roman"/>
          <w:spacing w:val="-6"/>
          <w:szCs w:val="21"/>
        </w:rPr>
        <w:t>乙方受理的代销理财产品业务申请，以</w:t>
      </w:r>
      <w:r>
        <w:rPr>
          <w:rFonts w:hint="eastAsia" w:ascii="Times New Roman" w:hAnsi="Times New Roman"/>
          <w:spacing w:val="-6"/>
          <w:szCs w:val="21"/>
          <w:lang w:val="en-US" w:eastAsia="zh-CN"/>
        </w:rPr>
        <w:t>理财</w:t>
      </w:r>
      <w:r>
        <w:rPr>
          <w:rFonts w:ascii="Times New Roman" w:hAnsi="Times New Roman"/>
          <w:spacing w:val="-6"/>
          <w:szCs w:val="21"/>
        </w:rPr>
        <w:t>产品发行机构</w:t>
      </w:r>
      <w:r>
        <w:rPr>
          <w:rFonts w:hint="eastAsia" w:ascii="Times New Roman" w:hAnsi="Times New Roman"/>
          <w:spacing w:val="-6"/>
          <w:szCs w:val="21"/>
          <w:lang w:eastAsia="zh-CN"/>
        </w:rPr>
        <w:t>（</w:t>
      </w:r>
      <w:r>
        <w:rPr>
          <w:rFonts w:hint="eastAsia" w:ascii="Times New Roman" w:hAnsi="Times New Roman"/>
          <w:spacing w:val="-6"/>
          <w:szCs w:val="21"/>
          <w:lang w:val="en-US" w:eastAsia="zh-CN"/>
        </w:rPr>
        <w:t>管理人</w:t>
      </w:r>
      <w:r>
        <w:rPr>
          <w:rFonts w:hint="eastAsia" w:ascii="Times New Roman" w:hAnsi="Times New Roman"/>
          <w:spacing w:val="-6"/>
          <w:szCs w:val="21"/>
          <w:lang w:eastAsia="zh-CN"/>
        </w:rPr>
        <w:t>）</w:t>
      </w:r>
      <w:r>
        <w:rPr>
          <w:rFonts w:ascii="Times New Roman" w:hAnsi="Times New Roman"/>
          <w:spacing w:val="-6"/>
          <w:szCs w:val="21"/>
        </w:rPr>
        <w:t>的最终确认结果为准。</w:t>
      </w:r>
    </w:p>
    <w:p>
      <w:pPr>
        <w:autoSpaceDE w:val="0"/>
        <w:autoSpaceDN w:val="0"/>
        <w:adjustRightInd w:val="0"/>
        <w:snapToGrid w:val="0"/>
        <w:spacing w:line="276" w:lineRule="auto"/>
        <w:ind w:firstLine="398" w:firstLineChars="200"/>
        <w:rPr>
          <w:rFonts w:ascii="Times New Roman" w:hAnsi="Times New Roman"/>
          <w:b/>
          <w:bCs/>
          <w:spacing w:val="-6"/>
          <w:szCs w:val="21"/>
        </w:rPr>
      </w:pPr>
      <w:r>
        <w:rPr>
          <w:rFonts w:ascii="Times New Roman" w:hAnsi="Times New Roman"/>
          <w:b/>
          <w:bCs/>
          <w:spacing w:val="-6"/>
          <w:szCs w:val="21"/>
        </w:rPr>
        <w:t>3.甲方在购买乙方代销的理财产品前，应进行有效风险承受能力的评估。甲方投资风险承受能力评估结果的有效期为一年，若风险承受能力评估结果已超过有效期或者在评</w:t>
      </w:r>
      <w:r>
        <w:rPr>
          <w:rFonts w:hint="eastAsia" w:ascii="Times New Roman" w:hAnsi="Times New Roman"/>
          <w:b/>
          <w:bCs/>
          <w:spacing w:val="-6"/>
          <w:szCs w:val="21"/>
          <w:lang w:val="en-US" w:eastAsia="zh-CN"/>
        </w:rPr>
        <w:t>估</w:t>
      </w:r>
      <w:r>
        <w:rPr>
          <w:rFonts w:ascii="Times New Roman" w:hAnsi="Times New Roman"/>
          <w:b/>
          <w:bCs/>
          <w:spacing w:val="-6"/>
          <w:szCs w:val="21"/>
        </w:rPr>
        <w:t>结果有效期内发生了可能影响甲方自身风险承受能力的情形，应重新进行风险承受能力评估。</w:t>
      </w:r>
    </w:p>
    <w:p>
      <w:pPr>
        <w:autoSpaceDE w:val="0"/>
        <w:autoSpaceDN w:val="0"/>
        <w:adjustRightInd w:val="0"/>
        <w:snapToGrid w:val="0"/>
        <w:spacing w:line="276" w:lineRule="auto"/>
        <w:ind w:firstLine="396" w:firstLineChars="200"/>
        <w:rPr>
          <w:rFonts w:ascii="Times New Roman" w:hAnsi="Times New Roman"/>
          <w:spacing w:val="-6"/>
          <w:szCs w:val="21"/>
        </w:rPr>
      </w:pPr>
      <w:r>
        <w:rPr>
          <w:rFonts w:ascii="Times New Roman" w:hAnsi="Times New Roman"/>
          <w:spacing w:val="-6"/>
          <w:szCs w:val="21"/>
        </w:rPr>
        <w:t>4.根据理财产品投资范围、风险特征、流动性等不同因素，乙方代销的理财产品分为</w:t>
      </w:r>
      <w:r>
        <w:rPr>
          <w:rFonts w:hint="eastAsia" w:ascii="Times New Roman" w:hAnsi="Times New Roman"/>
          <w:spacing w:val="-6"/>
          <w:szCs w:val="21"/>
          <w:highlight w:val="none"/>
        </w:rPr>
        <w:t>低风险产品、偏低风险产品、中风险产品、偏高风险产品、高风险产品</w:t>
      </w:r>
      <w:r>
        <w:rPr>
          <w:rFonts w:ascii="Times New Roman" w:hAnsi="Times New Roman"/>
          <w:spacing w:val="-6"/>
          <w:szCs w:val="21"/>
          <w:highlight w:val="none"/>
        </w:rPr>
        <w:t>共五个风险等级，与个人客户在乙方评估的风险承受能力等级【</w:t>
      </w:r>
      <w:r>
        <w:rPr>
          <w:rFonts w:hint="eastAsia" w:ascii="Times New Roman" w:hAnsi="Times New Roman"/>
          <w:spacing w:val="-6"/>
          <w:szCs w:val="21"/>
          <w:highlight w:val="none"/>
        </w:rPr>
        <w:t>保守型、稳健型、平衡型、成长型、进取型</w:t>
      </w:r>
      <w:r>
        <w:rPr>
          <w:rFonts w:ascii="Times New Roman" w:hAnsi="Times New Roman"/>
          <w:spacing w:val="-6"/>
          <w:szCs w:val="21"/>
          <w:highlight w:val="none"/>
        </w:rPr>
        <w:t>】共五个等级一一对应。</w:t>
      </w:r>
      <w:r>
        <w:rPr>
          <w:rFonts w:ascii="Times New Roman" w:hAnsi="Times New Roman"/>
          <w:b/>
          <w:bCs/>
          <w:spacing w:val="-6"/>
          <w:szCs w:val="21"/>
          <w:highlight w:val="none"/>
        </w:rPr>
        <w:t>甲方应根据风险承受能力评估结果选择与自身风险承受能力相匹配的理财产品，不得购买高于自身风险承受能力的理财产品。</w:t>
      </w:r>
      <w:r>
        <w:rPr>
          <w:rFonts w:hint="eastAsia" w:ascii="Times New Roman" w:hAnsi="Times New Roman"/>
          <w:b/>
          <w:bCs/>
          <w:spacing w:val="-6"/>
          <w:szCs w:val="21"/>
          <w:highlight w:val="none"/>
          <w:lang w:val="en-US" w:eastAsia="zh-CN"/>
        </w:rPr>
        <w:t>如甲方</w:t>
      </w:r>
      <w:r>
        <w:rPr>
          <w:rFonts w:hint="eastAsia" w:ascii="Times New Roman" w:hAnsi="Times New Roman"/>
          <w:b/>
          <w:bCs/>
          <w:spacing w:val="-6"/>
          <w:szCs w:val="21"/>
          <w:highlight w:val="none"/>
        </w:rPr>
        <w:t>购买理财产品</w:t>
      </w:r>
      <w:r>
        <w:rPr>
          <w:rFonts w:hint="eastAsia" w:ascii="Times New Roman" w:hAnsi="Times New Roman"/>
          <w:b/>
          <w:bCs/>
          <w:spacing w:val="-6"/>
          <w:szCs w:val="21"/>
          <w:highlight w:val="none"/>
          <w:lang w:val="en-US" w:eastAsia="zh-CN"/>
        </w:rPr>
        <w:t>的</w:t>
      </w:r>
      <w:r>
        <w:rPr>
          <w:rFonts w:hint="eastAsia" w:ascii="Times New Roman" w:hAnsi="Times New Roman"/>
          <w:b/>
          <w:bCs/>
          <w:spacing w:val="-6"/>
          <w:szCs w:val="21"/>
          <w:highlight w:val="none"/>
        </w:rPr>
        <w:t>风险等</w:t>
      </w:r>
      <w:r>
        <w:rPr>
          <w:rFonts w:hint="eastAsia" w:ascii="Times New Roman" w:hAnsi="Times New Roman" w:eastAsia="宋体" w:cs="Times New Roman"/>
          <w:b/>
          <w:bCs/>
          <w:spacing w:val="-6"/>
          <w:szCs w:val="21"/>
          <w:highlight w:val="none"/>
        </w:rPr>
        <w:t>级</w:t>
      </w:r>
      <w:r>
        <w:rPr>
          <w:rFonts w:hint="eastAsia" w:ascii="Times New Roman" w:hAnsi="Times New Roman" w:cs="Times New Roman"/>
          <w:b/>
          <w:bCs/>
          <w:spacing w:val="-6"/>
          <w:szCs w:val="21"/>
          <w:highlight w:val="none"/>
          <w:lang w:val="en-US" w:eastAsia="zh-CN"/>
        </w:rPr>
        <w:t>为</w:t>
      </w:r>
      <w:r>
        <w:rPr>
          <w:rFonts w:hint="eastAsia" w:ascii="Times New Roman" w:hAnsi="Times New Roman" w:eastAsia="宋体" w:cs="Times New Roman"/>
          <w:b/>
          <w:bCs/>
          <w:spacing w:val="-6"/>
          <w:szCs w:val="21"/>
          <w:highlight w:val="none"/>
        </w:rPr>
        <w:t>偏高风险及</w:t>
      </w:r>
      <w:r>
        <w:rPr>
          <w:rFonts w:hint="eastAsia" w:ascii="Times New Roman" w:hAnsi="Times New Roman"/>
          <w:b/>
          <w:bCs/>
          <w:spacing w:val="-6"/>
          <w:szCs w:val="21"/>
        </w:rPr>
        <w:t>以上的，除非与乙方</w:t>
      </w:r>
      <w:r>
        <w:rPr>
          <w:rFonts w:hint="eastAsia" w:ascii="Times New Roman" w:hAnsi="Times New Roman"/>
          <w:b/>
          <w:bCs/>
          <w:spacing w:val="-6"/>
          <w:szCs w:val="21"/>
          <w:lang w:val="en-US" w:eastAsia="zh-CN"/>
        </w:rPr>
        <w:t>当面</w:t>
      </w:r>
      <w:r>
        <w:rPr>
          <w:rFonts w:hint="eastAsia" w:ascii="Times New Roman" w:hAnsi="Times New Roman"/>
          <w:b/>
          <w:bCs/>
          <w:spacing w:val="-6"/>
          <w:szCs w:val="21"/>
        </w:rPr>
        <w:t>书面约定，应当在乙方营业网点进行。</w:t>
      </w:r>
    </w:p>
    <w:p>
      <w:pPr>
        <w:autoSpaceDE w:val="0"/>
        <w:autoSpaceDN w:val="0"/>
        <w:adjustRightInd w:val="0"/>
        <w:snapToGrid w:val="0"/>
        <w:spacing w:line="276" w:lineRule="auto"/>
        <w:ind w:firstLine="422" w:firstLineChars="200"/>
        <w:rPr>
          <w:rFonts w:ascii="Times New Roman" w:hAnsi="Times New Roman"/>
          <w:b/>
          <w:bCs/>
          <w:szCs w:val="21"/>
        </w:rPr>
      </w:pPr>
      <w:r>
        <w:rPr>
          <w:rFonts w:ascii="Times New Roman" w:hAnsi="Times New Roman"/>
          <w:b/>
          <w:bCs/>
          <w:szCs w:val="21"/>
        </w:rPr>
        <w:t>二、甲方声明与承诺</w:t>
      </w:r>
    </w:p>
    <w:p>
      <w:pPr>
        <w:autoSpaceDE w:val="0"/>
        <w:autoSpaceDN w:val="0"/>
        <w:adjustRightInd w:val="0"/>
        <w:snapToGrid w:val="0"/>
        <w:spacing w:line="276" w:lineRule="auto"/>
        <w:ind w:firstLine="422" w:firstLineChars="200"/>
        <w:rPr>
          <w:rFonts w:ascii="Times New Roman" w:hAnsi="Times New Roman"/>
          <w:szCs w:val="21"/>
        </w:rPr>
      </w:pPr>
      <w:r>
        <w:rPr>
          <w:rFonts w:ascii="Times New Roman" w:hAnsi="Times New Roman"/>
          <w:b/>
          <w:bCs/>
          <w:szCs w:val="21"/>
        </w:rPr>
        <w:t>1.甲方承诺其购买理财产品的资金为合法自有资金，不存在使用贷款、发行债券</w:t>
      </w:r>
      <w:r>
        <w:rPr>
          <w:rFonts w:hint="eastAsia" w:ascii="Times New Roman" w:hAnsi="Times New Roman"/>
          <w:b/>
          <w:bCs/>
          <w:szCs w:val="21"/>
        </w:rPr>
        <w:t>等</w:t>
      </w:r>
      <w:r>
        <w:rPr>
          <w:rFonts w:ascii="Times New Roman" w:hAnsi="Times New Roman"/>
          <w:b/>
          <w:bCs/>
          <w:szCs w:val="21"/>
        </w:rPr>
        <w:t>筹集</w:t>
      </w:r>
      <w:r>
        <w:rPr>
          <w:rFonts w:hint="eastAsia" w:ascii="Times New Roman" w:hAnsi="Times New Roman"/>
          <w:b/>
          <w:bCs/>
          <w:szCs w:val="21"/>
        </w:rPr>
        <w:t>的非自有资金</w:t>
      </w:r>
      <w:r>
        <w:rPr>
          <w:rFonts w:ascii="Times New Roman" w:hAnsi="Times New Roman"/>
          <w:b/>
          <w:bCs/>
          <w:szCs w:val="21"/>
        </w:rPr>
        <w:t>投资理财产品的情形。甲方承诺投资理财产品使用的资金来源合法合规，并且系为合法之目的投资本理财产品，而非为洗钱等违法犯罪之目的</w:t>
      </w:r>
      <w:r>
        <w:rPr>
          <w:rFonts w:ascii="Times New Roman" w:hAnsi="Times New Roman"/>
          <w:szCs w:val="21"/>
        </w:rPr>
        <w:t>，甲方将配合乙方开展投资者身份识别及尽职调查等反洗钱、反恐怖融资活动及非居民金融账户涉税信息尽职调查，及时、真实、准确、完整提供身份信息及资金来源等信息。</w:t>
      </w:r>
    </w:p>
    <w:p>
      <w:pPr>
        <w:autoSpaceDE w:val="0"/>
        <w:autoSpaceDN w:val="0"/>
        <w:adjustRightInd w:val="0"/>
        <w:snapToGrid w:val="0"/>
        <w:spacing w:line="276" w:lineRule="auto"/>
        <w:ind w:firstLine="422" w:firstLineChars="200"/>
        <w:rPr>
          <w:rFonts w:ascii="Times New Roman" w:hAnsi="Times New Roman"/>
          <w:szCs w:val="21"/>
        </w:rPr>
      </w:pPr>
      <w:r>
        <w:rPr>
          <w:rFonts w:ascii="Times New Roman" w:hAnsi="Times New Roman"/>
          <w:b/>
          <w:bCs/>
          <w:szCs w:val="21"/>
        </w:rPr>
        <w:t>2.甲方承诺所提供的所有资料真实、准确、完整、合法、有效，如有变更，</w:t>
      </w:r>
      <w:r>
        <w:rPr>
          <w:rFonts w:ascii="Times New Roman" w:hAnsi="Times New Roman"/>
          <w:b/>
          <w:bCs/>
          <w:szCs w:val="21"/>
          <w:highlight w:val="none"/>
        </w:rPr>
        <w:t>甲方应及时通过乙方营业网点或电子渠道办理变更手续</w:t>
      </w:r>
      <w:r>
        <w:rPr>
          <w:rFonts w:hint="eastAsia" w:ascii="Times New Roman" w:hAnsi="Times New Roman"/>
          <w:b/>
          <w:bCs/>
          <w:szCs w:val="21"/>
          <w:highlight w:val="none"/>
          <w:lang w:eastAsia="zh-CN"/>
        </w:rPr>
        <w:t>。</w:t>
      </w:r>
      <w:r>
        <w:rPr>
          <w:rFonts w:ascii="Times New Roman" w:hAnsi="Times New Roman"/>
          <w:szCs w:val="21"/>
        </w:rPr>
        <w:t>若甲方未及时办理相关变更手续，由此导致的后果由甲方自行承担，乙方对此不承担责任。</w:t>
      </w:r>
    </w:p>
    <w:p>
      <w:pPr>
        <w:autoSpaceDE w:val="0"/>
        <w:autoSpaceDN w:val="0"/>
        <w:adjustRightInd w:val="0"/>
        <w:snapToGrid w:val="0"/>
        <w:spacing w:line="276" w:lineRule="auto"/>
        <w:ind w:firstLine="422" w:firstLineChars="200"/>
        <w:rPr>
          <w:rFonts w:ascii="Times New Roman" w:hAnsi="Times New Roman"/>
          <w:b/>
          <w:bCs/>
          <w:szCs w:val="21"/>
        </w:rPr>
      </w:pPr>
      <w:r>
        <w:rPr>
          <w:rFonts w:ascii="Times New Roman" w:hAnsi="Times New Roman"/>
          <w:b/>
          <w:bCs/>
          <w:szCs w:val="21"/>
        </w:rPr>
        <w:t>3.甲方已经认真阅读销售文件，清楚知晓其具体内容，对有关条款不存在疑问或异议，并能充分理解所购买产品的风险，明白在发生最不利情况下（可能但并不一定发生），甲方可能无法取得产品投资收益，并可能面临损失本金的风险。甲方独立作出投资决定，并亲自对销售文件进行签署确认，自主承担投资风险。</w:t>
      </w:r>
    </w:p>
    <w:p>
      <w:pPr>
        <w:autoSpaceDE w:val="0"/>
        <w:autoSpaceDN w:val="0"/>
        <w:adjustRightInd w:val="0"/>
        <w:snapToGrid w:val="0"/>
        <w:spacing w:line="276" w:lineRule="auto"/>
        <w:ind w:firstLine="420" w:firstLineChars="200"/>
        <w:rPr>
          <w:rFonts w:ascii="Times New Roman" w:hAnsi="Times New Roman"/>
          <w:szCs w:val="21"/>
        </w:rPr>
      </w:pPr>
      <w:r>
        <w:rPr>
          <w:rFonts w:ascii="Times New Roman" w:hAnsi="Times New Roman"/>
          <w:szCs w:val="21"/>
        </w:rPr>
        <w:t>4.甲方已在乙方营业网点</w:t>
      </w:r>
      <w:r>
        <w:rPr>
          <w:rFonts w:ascii="Times New Roman" w:hAnsi="Times New Roman"/>
          <w:b/>
          <w:bCs/>
          <w:szCs w:val="21"/>
        </w:rPr>
        <w:t>或电子渠道（包括</w:t>
      </w:r>
      <w:r>
        <w:rPr>
          <w:rFonts w:ascii="Times New Roman" w:hAnsi="Times New Roman"/>
          <w:szCs w:val="21"/>
        </w:rPr>
        <w:t>网上银行、手机银行</w:t>
      </w:r>
      <w:r>
        <w:rPr>
          <w:rFonts w:hint="eastAsia" w:ascii="Times New Roman" w:hAnsi="Times New Roman"/>
          <w:szCs w:val="21"/>
          <w:lang w:val="en-US" w:eastAsia="zh-CN"/>
        </w:rPr>
        <w:t>、</w:t>
      </w:r>
      <w:r>
        <w:rPr>
          <w:rFonts w:ascii="Times New Roman" w:hAnsi="Times New Roman"/>
          <w:szCs w:val="21"/>
        </w:rPr>
        <w:t>智能终端等</w:t>
      </w:r>
      <w:r>
        <w:rPr>
          <w:rFonts w:hint="eastAsia" w:ascii="Times New Roman" w:hAnsi="Times New Roman"/>
          <w:szCs w:val="21"/>
          <w:lang w:eastAsia="zh-CN"/>
        </w:rPr>
        <w:t>）</w:t>
      </w:r>
      <w:r>
        <w:rPr>
          <w:rFonts w:ascii="Times New Roman" w:hAnsi="Times New Roman"/>
          <w:szCs w:val="21"/>
        </w:rPr>
        <w:t>完成投资风险承受能力评估，并对投资风险承受能力评估结果完全认可。</w:t>
      </w:r>
      <w:r>
        <w:rPr>
          <w:rFonts w:ascii="Times New Roman" w:hAnsi="Times New Roman"/>
          <w:b/>
          <w:bCs/>
          <w:szCs w:val="21"/>
        </w:rPr>
        <w:t>甲方承诺所购买理财产品对应的风险等级</w:t>
      </w:r>
      <w:r>
        <w:rPr>
          <w:rFonts w:hint="eastAsia" w:ascii="Times New Roman" w:hAnsi="Times New Roman"/>
          <w:b/>
          <w:bCs/>
          <w:szCs w:val="21"/>
          <w:lang w:eastAsia="zh-CN"/>
        </w:rPr>
        <w:t>与</w:t>
      </w:r>
      <w:r>
        <w:rPr>
          <w:rFonts w:ascii="Times New Roman" w:hAnsi="Times New Roman"/>
          <w:b/>
          <w:bCs/>
          <w:szCs w:val="21"/>
        </w:rPr>
        <w:t>自身风险承受能力</w:t>
      </w:r>
      <w:r>
        <w:rPr>
          <w:rFonts w:hint="eastAsia" w:ascii="Times New Roman" w:hAnsi="Times New Roman"/>
          <w:b/>
          <w:bCs/>
          <w:szCs w:val="21"/>
          <w:lang w:val="en-US" w:eastAsia="zh-CN"/>
        </w:rPr>
        <w:t>相匹配</w:t>
      </w:r>
      <w:r>
        <w:rPr>
          <w:rFonts w:ascii="Times New Roman" w:hAnsi="Times New Roman"/>
          <w:b/>
          <w:bCs/>
          <w:szCs w:val="21"/>
        </w:rPr>
        <w:t>。</w:t>
      </w:r>
    </w:p>
    <w:p>
      <w:pPr>
        <w:autoSpaceDE w:val="0"/>
        <w:autoSpaceDN w:val="0"/>
        <w:adjustRightInd w:val="0"/>
        <w:snapToGrid w:val="0"/>
        <w:spacing w:line="276" w:lineRule="auto"/>
        <w:ind w:firstLine="422" w:firstLineChars="200"/>
        <w:rPr>
          <w:rFonts w:ascii="Times New Roman" w:hAnsi="Times New Roman"/>
          <w:b/>
          <w:bCs/>
          <w:szCs w:val="21"/>
        </w:rPr>
      </w:pPr>
      <w:r>
        <w:rPr>
          <w:rFonts w:ascii="Times New Roman" w:hAnsi="Times New Roman"/>
          <w:b/>
          <w:bCs/>
          <w:szCs w:val="21"/>
        </w:rPr>
        <w:t>5.</w:t>
      </w:r>
      <w:r>
        <w:rPr>
          <w:rFonts w:hint="eastAsia" w:ascii="Times New Roman" w:hAnsi="Times New Roman"/>
          <w:b/>
          <w:bCs/>
          <w:szCs w:val="21"/>
          <w:lang w:val="en-US" w:eastAsia="zh-CN"/>
        </w:rPr>
        <w:t>甲方发起的认购、</w:t>
      </w:r>
      <w:r>
        <w:rPr>
          <w:rFonts w:hint="eastAsia" w:ascii="Times New Roman" w:hAnsi="Times New Roman"/>
          <w:b/>
          <w:bCs/>
          <w:szCs w:val="21"/>
        </w:rPr>
        <w:t>申购、赎回申请可以在对应</w:t>
      </w:r>
      <w:r>
        <w:rPr>
          <w:rFonts w:hint="eastAsia" w:ascii="Times New Roman" w:hAnsi="Times New Roman"/>
          <w:b/>
          <w:bCs/>
          <w:szCs w:val="21"/>
          <w:lang w:val="en-US" w:eastAsia="zh-CN"/>
        </w:rPr>
        <w:t>认购期、</w:t>
      </w:r>
      <w:r>
        <w:rPr>
          <w:rFonts w:hint="eastAsia" w:ascii="Times New Roman" w:hAnsi="Times New Roman"/>
          <w:b/>
          <w:bCs/>
          <w:szCs w:val="21"/>
        </w:rPr>
        <w:t>申购日、赎回日交易时间截止前撤销</w:t>
      </w:r>
      <w:r>
        <w:rPr>
          <w:rFonts w:hint="eastAsia" w:ascii="Times New Roman" w:hAnsi="Times New Roman"/>
          <w:b/>
          <w:bCs/>
          <w:szCs w:val="21"/>
          <w:lang w:eastAsia="zh-CN"/>
        </w:rPr>
        <w:t>，</w:t>
      </w:r>
      <w:r>
        <w:rPr>
          <w:rFonts w:hint="eastAsia" w:ascii="Times New Roman" w:hAnsi="Times New Roman"/>
          <w:b/>
          <w:bCs/>
          <w:szCs w:val="21"/>
          <w:lang w:val="en-US" w:eastAsia="zh-CN"/>
        </w:rPr>
        <w:t>超过截止时间则无法撤销对应交易。</w:t>
      </w:r>
      <w:r>
        <w:rPr>
          <w:rFonts w:ascii="Times New Roman" w:hAnsi="Times New Roman"/>
          <w:b/>
          <w:bCs/>
          <w:szCs w:val="21"/>
        </w:rPr>
        <w:t>甲方签署本协议，即同意授权乙方自甲方理财产品指定账户冻结等额于甲方在本协议项下提交认购或申购的交易金额的资金（冻结期间乙方按甲方理财</w:t>
      </w:r>
      <w:r>
        <w:rPr>
          <w:rFonts w:hint="eastAsia" w:ascii="Times New Roman" w:hAnsi="Times New Roman"/>
          <w:b/>
          <w:bCs/>
          <w:szCs w:val="21"/>
          <w:lang w:val="en-US" w:eastAsia="zh-CN"/>
        </w:rPr>
        <w:t>产品</w:t>
      </w:r>
      <w:r>
        <w:rPr>
          <w:rFonts w:ascii="Times New Roman" w:hAnsi="Times New Roman"/>
          <w:b/>
          <w:bCs/>
          <w:szCs w:val="21"/>
        </w:rPr>
        <w:t>指定账户活期存款的利息结算规则计付利息），并于</w:t>
      </w:r>
      <w:r>
        <w:rPr>
          <w:rFonts w:hint="eastAsia" w:ascii="Times New Roman" w:hAnsi="Times New Roman"/>
          <w:b/>
          <w:bCs/>
          <w:szCs w:val="21"/>
          <w:lang w:val="en-US" w:eastAsia="zh-CN"/>
        </w:rPr>
        <w:t>交易确认前</w:t>
      </w:r>
      <w:r>
        <w:rPr>
          <w:rFonts w:ascii="Times New Roman" w:hAnsi="Times New Roman"/>
          <w:b/>
          <w:bCs/>
          <w:szCs w:val="21"/>
        </w:rPr>
        <w:t>扣划至</w:t>
      </w:r>
      <w:r>
        <w:rPr>
          <w:rFonts w:hint="eastAsia" w:ascii="Times New Roman" w:hAnsi="Times New Roman"/>
          <w:b/>
          <w:bCs/>
          <w:szCs w:val="21"/>
          <w:lang w:val="en-US" w:eastAsia="zh-CN"/>
        </w:rPr>
        <w:t>理财</w:t>
      </w:r>
      <w:r>
        <w:rPr>
          <w:rFonts w:ascii="Times New Roman" w:hAnsi="Times New Roman"/>
          <w:b/>
          <w:bCs/>
          <w:szCs w:val="21"/>
        </w:rPr>
        <w:t>产品发行</w:t>
      </w:r>
      <w:r>
        <w:rPr>
          <w:rFonts w:hint="eastAsia" w:ascii="Times New Roman" w:hAnsi="Times New Roman"/>
          <w:b/>
          <w:bCs/>
          <w:szCs w:val="21"/>
        </w:rPr>
        <w:t>与管理</w:t>
      </w:r>
      <w:r>
        <w:rPr>
          <w:rFonts w:ascii="Times New Roman" w:hAnsi="Times New Roman"/>
          <w:b/>
          <w:bCs/>
          <w:szCs w:val="21"/>
        </w:rPr>
        <w:t>机构指定账户，乙方在划款时均无须再通知甲方。</w:t>
      </w:r>
    </w:p>
    <w:p>
      <w:pPr>
        <w:autoSpaceDE w:val="0"/>
        <w:autoSpaceDN w:val="0"/>
        <w:adjustRightInd w:val="0"/>
        <w:snapToGrid w:val="0"/>
        <w:spacing w:line="276" w:lineRule="auto"/>
        <w:ind w:firstLine="420" w:firstLineChars="200"/>
        <w:rPr>
          <w:rFonts w:ascii="Times New Roman" w:hAnsi="Times New Roman"/>
          <w:szCs w:val="21"/>
        </w:rPr>
      </w:pPr>
      <w:r>
        <w:rPr>
          <w:rFonts w:ascii="Times New Roman" w:hAnsi="Times New Roman"/>
          <w:szCs w:val="21"/>
        </w:rPr>
        <w:t>6.在产品募集期（或开放期）内，如因甲方的原因导致投资本金不能从其</w:t>
      </w:r>
      <w:r>
        <w:rPr>
          <w:rFonts w:hint="eastAsia" w:ascii="Times New Roman" w:hAnsi="Times New Roman"/>
          <w:szCs w:val="21"/>
          <w:lang w:val="en-US" w:eastAsia="zh-CN"/>
        </w:rPr>
        <w:t>理财产品指定</w:t>
      </w:r>
      <w:r>
        <w:rPr>
          <w:rFonts w:ascii="Times New Roman" w:hAnsi="Times New Roman"/>
          <w:szCs w:val="21"/>
        </w:rPr>
        <w:t>账户足额划转的，</w:t>
      </w:r>
      <w:r>
        <w:rPr>
          <w:rFonts w:hint="eastAsia" w:ascii="Times New Roman" w:hAnsi="Times New Roman"/>
          <w:szCs w:val="21"/>
          <w:lang w:val="en-US" w:eastAsia="zh-CN"/>
        </w:rPr>
        <w:t>则</w:t>
      </w:r>
      <w:r>
        <w:rPr>
          <w:rFonts w:ascii="Times New Roman" w:hAnsi="Times New Roman"/>
          <w:szCs w:val="21"/>
        </w:rPr>
        <w:t>甲方对相关理财产品的购买不成功，该理财产品</w:t>
      </w:r>
      <w:r>
        <w:rPr>
          <w:rFonts w:hint="eastAsia" w:ascii="Times New Roman" w:hAnsi="Times New Roman"/>
          <w:szCs w:val="21"/>
          <w:lang w:val="en-US" w:eastAsia="zh-CN"/>
        </w:rPr>
        <w:t>销售文件及</w:t>
      </w:r>
      <w:r>
        <w:rPr>
          <w:rFonts w:ascii="Times New Roman" w:hAnsi="Times New Roman"/>
          <w:szCs w:val="21"/>
        </w:rPr>
        <w:t>相关协议不生效</w:t>
      </w:r>
      <w:r>
        <w:rPr>
          <w:rFonts w:hint="eastAsia" w:ascii="Times New Roman" w:hAnsi="Times New Roman"/>
          <w:szCs w:val="21"/>
          <w:lang w:val="en-US" w:eastAsia="zh-CN"/>
        </w:rPr>
        <w:t>等后果由甲方自行承担</w:t>
      </w:r>
      <w:r>
        <w:rPr>
          <w:rFonts w:ascii="Times New Roman" w:hAnsi="Times New Roman"/>
          <w:szCs w:val="21"/>
        </w:rPr>
        <w:t>，乙方对此不承担责任。</w:t>
      </w:r>
    </w:p>
    <w:p>
      <w:pPr>
        <w:autoSpaceDE w:val="0"/>
        <w:autoSpaceDN w:val="0"/>
        <w:adjustRightInd w:val="0"/>
        <w:snapToGrid w:val="0"/>
        <w:spacing w:line="276" w:lineRule="auto"/>
        <w:ind w:firstLine="422" w:firstLineChars="200"/>
        <w:rPr>
          <w:rFonts w:ascii="Times New Roman" w:hAnsi="Times New Roman"/>
          <w:b/>
          <w:bCs/>
          <w:szCs w:val="21"/>
        </w:rPr>
      </w:pPr>
      <w:r>
        <w:rPr>
          <w:rFonts w:ascii="Times New Roman" w:hAnsi="Times New Roman"/>
          <w:b/>
          <w:bCs/>
          <w:szCs w:val="21"/>
        </w:rPr>
        <w:t>7.对于甲方通过乙方营业网点或电子渠道（包括网上银行、手机银行</w:t>
      </w:r>
      <w:r>
        <w:rPr>
          <w:rFonts w:hint="eastAsia" w:ascii="Times New Roman" w:hAnsi="Times New Roman"/>
          <w:b/>
          <w:bCs/>
          <w:szCs w:val="21"/>
          <w:lang w:eastAsia="zh-CN"/>
        </w:rPr>
        <w:t>、智能终端</w:t>
      </w:r>
      <w:r>
        <w:rPr>
          <w:rFonts w:ascii="Times New Roman" w:hAnsi="Times New Roman"/>
          <w:b/>
          <w:bCs/>
          <w:szCs w:val="21"/>
        </w:rPr>
        <w:t>等）购买的理财产品，甲方确认理财产品销售文件均由本人签字签署或亲自在系统中点击确认，并对其真实性和有效性负责，甲方系统点击确认与纸质签署具有同等法律效力。甲方同意乙方可对其办理本合同项下理财业务的操作过程进行录音、录像或以其他合法方式进行记录，且在双方发生争议时可以作为合法有效的证据使用。</w:t>
      </w:r>
    </w:p>
    <w:p>
      <w:pPr>
        <w:autoSpaceDE w:val="0"/>
        <w:autoSpaceDN w:val="0"/>
        <w:adjustRightInd w:val="0"/>
        <w:snapToGrid w:val="0"/>
        <w:spacing w:line="276" w:lineRule="auto"/>
        <w:ind w:firstLine="420" w:firstLineChars="200"/>
        <w:rPr>
          <w:rFonts w:ascii="Times New Roman" w:hAnsi="Times New Roman"/>
          <w:szCs w:val="21"/>
        </w:rPr>
      </w:pPr>
      <w:r>
        <w:rPr>
          <w:rFonts w:ascii="Times New Roman" w:hAnsi="Times New Roman"/>
          <w:szCs w:val="21"/>
        </w:rPr>
        <w:t>8.甲方承诺在产品存续期内，除非</w:t>
      </w:r>
      <w:r>
        <w:rPr>
          <w:rFonts w:hint="eastAsia" w:ascii="Times New Roman" w:hAnsi="Times New Roman"/>
          <w:szCs w:val="21"/>
          <w:lang w:val="en-US" w:eastAsia="zh-CN"/>
        </w:rPr>
        <w:t>理财</w:t>
      </w:r>
      <w:r>
        <w:rPr>
          <w:rFonts w:ascii="Times New Roman" w:hAnsi="Times New Roman"/>
          <w:szCs w:val="21"/>
        </w:rPr>
        <w:t>产品发行</w:t>
      </w:r>
      <w:r>
        <w:rPr>
          <w:rFonts w:hint="eastAsia" w:ascii="Times New Roman" w:hAnsi="Times New Roman"/>
          <w:szCs w:val="21"/>
        </w:rPr>
        <w:t>与管理</w:t>
      </w:r>
      <w:r>
        <w:rPr>
          <w:rFonts w:ascii="Times New Roman" w:hAnsi="Times New Roman"/>
          <w:szCs w:val="21"/>
        </w:rPr>
        <w:t>机构按照《理财产品说明书》约定行权终止理财产品，否则</w:t>
      </w:r>
      <w:r>
        <w:rPr>
          <w:rFonts w:ascii="Times New Roman" w:hAnsi="Times New Roman"/>
          <w:b/>
          <w:bCs/>
          <w:szCs w:val="21"/>
        </w:rPr>
        <w:t>不得要求乙方在产品非开放日前退还已扣划款项或以任何形式清算其持有的理财产品份额，且不得将指定账户销户</w:t>
      </w:r>
      <w:r>
        <w:rPr>
          <w:rFonts w:ascii="Times New Roman" w:hAnsi="Times New Roman"/>
          <w:szCs w:val="21"/>
        </w:rPr>
        <w:t>。</w:t>
      </w:r>
    </w:p>
    <w:p>
      <w:pPr>
        <w:autoSpaceDE w:val="0"/>
        <w:autoSpaceDN w:val="0"/>
        <w:adjustRightInd w:val="0"/>
        <w:snapToGrid w:val="0"/>
        <w:spacing w:line="276" w:lineRule="auto"/>
        <w:ind w:firstLine="420" w:firstLineChars="200"/>
        <w:rPr>
          <w:rFonts w:ascii="Times New Roman" w:hAnsi="Times New Roman"/>
        </w:rPr>
      </w:pPr>
      <w:r>
        <w:rPr>
          <w:rFonts w:ascii="Times New Roman" w:hAnsi="Times New Roman"/>
        </w:rPr>
        <w:t>9.甲方对本协议及其条款负有保密义务，未经乙方书面许可，甲方不得向任何组织、个人提供或泄露与乙方有关的业务资料及信息，但法律法规</w:t>
      </w:r>
      <w:r>
        <w:rPr>
          <w:rFonts w:hint="eastAsia" w:ascii="Times New Roman" w:hAnsi="Times New Roman"/>
          <w:lang w:val="en-US" w:eastAsia="zh-CN"/>
        </w:rPr>
        <w:t>或监管规定或双方书面协议</w:t>
      </w:r>
      <w:r>
        <w:rPr>
          <w:rFonts w:ascii="Times New Roman" w:hAnsi="Times New Roman"/>
        </w:rPr>
        <w:t>另有规定的除外。</w:t>
      </w:r>
    </w:p>
    <w:p>
      <w:pPr>
        <w:autoSpaceDE w:val="0"/>
        <w:autoSpaceDN w:val="0"/>
        <w:adjustRightInd w:val="0"/>
        <w:snapToGrid w:val="0"/>
        <w:spacing w:line="276" w:lineRule="auto"/>
        <w:ind w:firstLine="420" w:firstLineChars="200"/>
        <w:rPr>
          <w:rFonts w:ascii="Times New Roman" w:hAnsi="Times New Roman"/>
        </w:rPr>
      </w:pPr>
      <w:r>
        <w:rPr>
          <w:rFonts w:ascii="Times New Roman" w:hAnsi="Times New Roman"/>
          <w:b w:val="0"/>
          <w:bCs w:val="0"/>
        </w:rPr>
        <w:t>10.甲方承诺严格遵守反洗钱相关法律法规和监管规定，不会参与或协助洗钱、恐怖融资、逃税活动等违法行为</w:t>
      </w:r>
      <w:r>
        <w:rPr>
          <w:rFonts w:ascii="Times New Roman" w:hAnsi="Times New Roman"/>
          <w:b/>
          <w:bCs/>
        </w:rPr>
        <w:t>。乙方若发现或有合理理由怀疑甲方、甲方的资金或甲方的交易行为与洗钱、恐怖融资、逃税等犯罪活动相关的，乙方有权提前终止本协议，造成甲方损失的，乙方不承担责任</w:t>
      </w:r>
      <w:r>
        <w:rPr>
          <w:rFonts w:ascii="Times New Roman" w:hAnsi="Times New Roman"/>
        </w:rPr>
        <w:t>。</w:t>
      </w:r>
    </w:p>
    <w:p>
      <w:pPr>
        <w:tabs>
          <w:tab w:val="left" w:pos="360"/>
        </w:tabs>
        <w:autoSpaceDE w:val="0"/>
        <w:autoSpaceDN w:val="0"/>
        <w:adjustRightInd w:val="0"/>
        <w:snapToGrid w:val="0"/>
        <w:spacing w:line="276" w:lineRule="auto"/>
        <w:ind w:firstLine="420" w:firstLineChars="200"/>
        <w:rPr>
          <w:rFonts w:ascii="Times New Roman" w:hAnsi="Times New Roman"/>
          <w:b/>
          <w:bCs/>
          <w:szCs w:val="21"/>
        </w:rPr>
      </w:pPr>
      <w:r>
        <w:rPr>
          <w:rFonts w:ascii="Times New Roman" w:hAnsi="Times New Roman"/>
          <w:szCs w:val="21"/>
        </w:rPr>
        <w:t>三、根据相关法律、法规规定及监管部门要求，乙方在向甲方销售理财产品时，会对产品销售过程以及销售记录进行客观审慎的记录。其中，</w:t>
      </w:r>
      <w:r>
        <w:rPr>
          <w:rFonts w:ascii="Times New Roman" w:hAnsi="Times New Roman"/>
          <w:b/>
          <w:bCs/>
          <w:szCs w:val="21"/>
        </w:rPr>
        <w:t>甲方授权乙方对营业网点销售行为进行录音、录像采集，并完整客观记录电子渠道上营销推介、产品风险和关键信息提示、确认和反馈等重点销售环节，以用于回溯检查和核查取证用途。</w:t>
      </w:r>
    </w:p>
    <w:p>
      <w:pPr>
        <w:tabs>
          <w:tab w:val="left" w:pos="360"/>
        </w:tabs>
        <w:autoSpaceDE w:val="0"/>
        <w:autoSpaceDN w:val="0"/>
        <w:adjustRightInd w:val="0"/>
        <w:snapToGrid w:val="0"/>
        <w:spacing w:line="276" w:lineRule="auto"/>
        <w:ind w:firstLine="420" w:firstLineChars="200"/>
        <w:rPr>
          <w:rFonts w:ascii="Times New Roman" w:hAnsi="Times New Roman"/>
          <w:szCs w:val="21"/>
        </w:rPr>
      </w:pPr>
      <w:r>
        <w:rPr>
          <w:rFonts w:ascii="Times New Roman" w:hAnsi="Times New Roman"/>
          <w:szCs w:val="21"/>
        </w:rPr>
        <w:t>四、乙方对理财产品销售过程中获知的投资者金融信息承担保密义务，未经甲方书面许可，乙方不得向任何组织、个人提供或泄露与甲方有关的业务资料及信息，但法律法规或监管规定</w:t>
      </w:r>
      <w:r>
        <w:rPr>
          <w:rFonts w:hint="eastAsia" w:ascii="Times New Roman" w:hAnsi="Times New Roman"/>
          <w:szCs w:val="21"/>
          <w:lang w:val="en-US" w:eastAsia="zh-CN"/>
        </w:rPr>
        <w:t>或双方书面协议</w:t>
      </w:r>
      <w:r>
        <w:rPr>
          <w:rFonts w:ascii="Times New Roman" w:hAnsi="Times New Roman"/>
          <w:szCs w:val="21"/>
        </w:rPr>
        <w:t>另有</w:t>
      </w:r>
      <w:r>
        <w:rPr>
          <w:rFonts w:hint="eastAsia" w:ascii="Times New Roman" w:hAnsi="Times New Roman"/>
          <w:szCs w:val="21"/>
          <w:lang w:val="en-US" w:eastAsia="zh-CN"/>
        </w:rPr>
        <w:t>规定</w:t>
      </w:r>
      <w:r>
        <w:rPr>
          <w:rFonts w:ascii="Times New Roman" w:hAnsi="Times New Roman"/>
          <w:szCs w:val="21"/>
        </w:rPr>
        <w:t>的除外。</w:t>
      </w:r>
    </w:p>
    <w:p>
      <w:pPr>
        <w:tabs>
          <w:tab w:val="left" w:pos="360"/>
        </w:tabs>
        <w:autoSpaceDE w:val="0"/>
        <w:autoSpaceDN w:val="0"/>
        <w:adjustRightInd w:val="0"/>
        <w:snapToGrid w:val="0"/>
        <w:spacing w:line="276" w:lineRule="auto"/>
        <w:ind w:firstLine="420" w:firstLineChars="200"/>
        <w:rPr>
          <w:rFonts w:hint="eastAsia" w:ascii="Times New Roman" w:hAnsi="Times New Roman"/>
          <w:szCs w:val="21"/>
        </w:rPr>
      </w:pPr>
      <w:r>
        <w:rPr>
          <w:rFonts w:ascii="Times New Roman" w:hAnsi="Times New Roman"/>
          <w:szCs w:val="21"/>
        </w:rPr>
        <w:t>五、</w:t>
      </w:r>
      <w:r>
        <w:rPr>
          <w:rFonts w:hint="eastAsia" w:ascii="Times New Roman" w:hAnsi="Times New Roman"/>
          <w:szCs w:val="21"/>
        </w:rPr>
        <w:t>乙方有权按照反洗钱、反恐怖融资、非居民金融账户涉税信息尽职调查及理财产品登记等相关法律法规和监管要求，收集甲方身份信息、持有理财产品信息、理财账户信息、交易明细信息等相关信息，并按规定向监管机构、理财产品登记机构等有权机关进行登记报送。</w:t>
      </w:r>
    </w:p>
    <w:p>
      <w:pPr>
        <w:widowControl/>
        <w:shd w:val="clear" w:color="auto" w:fill="FFFFFF"/>
        <w:autoSpaceDE/>
        <w:autoSpaceDN/>
        <w:adjustRightInd/>
        <w:snapToGrid/>
        <w:spacing w:line="240" w:lineRule="auto"/>
        <w:ind w:firstLine="420" w:firstLineChars="200"/>
        <w:jc w:val="left"/>
        <w:rPr>
          <w:rFonts w:hint="eastAsia" w:ascii="Times New Roman" w:hAnsi="Times New Roman"/>
          <w:szCs w:val="21"/>
        </w:rPr>
      </w:pPr>
      <w:r>
        <w:rPr>
          <w:rFonts w:hint="eastAsia" w:ascii="Times New Roman" w:hAnsi="Times New Roman"/>
          <w:szCs w:val="21"/>
          <w:lang w:val="en-US" w:eastAsia="zh-CN"/>
        </w:rPr>
        <w:t>乙方</w:t>
      </w:r>
      <w:r>
        <w:rPr>
          <w:rFonts w:hint="eastAsia" w:ascii="Times New Roman" w:hAnsi="Times New Roman"/>
          <w:szCs w:val="21"/>
        </w:rPr>
        <w:t>将会按照</w:t>
      </w:r>
      <w:r>
        <w:rPr>
          <w:rFonts w:hint="eastAsia" w:ascii="Times New Roman" w:hAnsi="Times New Roman" w:eastAsia="宋体" w:cs="Times New Roman"/>
          <w:b/>
          <w:bCs/>
          <w:szCs w:val="21"/>
          <w:lang w:val="en-US" w:eastAsia="zh-CN"/>
        </w:rPr>
        <w:t>《</w:t>
      </w:r>
      <w:r>
        <w:rPr>
          <w:rFonts w:hint="eastAsia" w:ascii="Times New Roman" w:hAnsi="Times New Roman" w:eastAsia="宋体" w:cs="Times New Roman"/>
          <w:b/>
          <w:bCs/>
          <w:kern w:val="2"/>
          <w:sz w:val="21"/>
          <w:szCs w:val="21"/>
          <w:lang w:val="en-US" w:eastAsia="zh-CN"/>
        </w:rPr>
        <w:t>厦门银行代销理财业务个人</w:t>
      </w:r>
      <w:r>
        <w:rPr>
          <w:rFonts w:hint="eastAsia" w:ascii="Times New Roman" w:hAnsi="Times New Roman" w:eastAsia="宋体" w:cs="Times New Roman"/>
          <w:b/>
          <w:bCs/>
          <w:kern w:val="2"/>
          <w:sz w:val="21"/>
          <w:szCs w:val="21"/>
        </w:rPr>
        <w:t>信息</w:t>
      </w:r>
      <w:r>
        <w:rPr>
          <w:rFonts w:hint="eastAsia" w:ascii="Times New Roman" w:hAnsi="Times New Roman" w:eastAsia="宋体" w:cs="Times New Roman"/>
          <w:b/>
          <w:bCs/>
          <w:kern w:val="2"/>
          <w:sz w:val="21"/>
          <w:szCs w:val="21"/>
          <w:lang w:val="en-US" w:eastAsia="zh-CN"/>
        </w:rPr>
        <w:t>处理</w:t>
      </w:r>
      <w:r>
        <w:rPr>
          <w:rFonts w:hint="eastAsia" w:ascii="Times New Roman" w:hAnsi="Times New Roman" w:eastAsia="宋体" w:cs="Times New Roman"/>
          <w:b/>
          <w:bCs/>
          <w:kern w:val="2"/>
          <w:sz w:val="21"/>
          <w:szCs w:val="21"/>
        </w:rPr>
        <w:t>授权书</w:t>
      </w:r>
      <w:r>
        <w:rPr>
          <w:rFonts w:hint="eastAsia" w:ascii="Times New Roman" w:hAnsi="Times New Roman" w:eastAsia="宋体" w:cs="Times New Roman"/>
          <w:b/>
          <w:bCs/>
          <w:kern w:val="2"/>
          <w:sz w:val="21"/>
          <w:szCs w:val="21"/>
          <w:lang w:eastAsia="zh-CN"/>
        </w:rPr>
        <w:t>》</w:t>
      </w:r>
      <w:r>
        <w:rPr>
          <w:rFonts w:hint="eastAsia" w:ascii="Times New Roman" w:hAnsi="Times New Roman" w:cs="Times New Roman"/>
          <w:b/>
          <w:bCs/>
          <w:kern w:val="2"/>
          <w:sz w:val="21"/>
          <w:szCs w:val="21"/>
          <w:lang w:val="en-US" w:eastAsia="zh-CN"/>
        </w:rPr>
        <w:t>中</w:t>
      </w:r>
      <w:r>
        <w:rPr>
          <w:rFonts w:hint="eastAsia" w:ascii="Times New Roman" w:hAnsi="Times New Roman"/>
          <w:szCs w:val="21"/>
          <w:lang w:val="en-US" w:eastAsia="zh-CN"/>
        </w:rPr>
        <w:t>甲方</w:t>
      </w:r>
      <w:r>
        <w:rPr>
          <w:rFonts w:hint="eastAsia" w:ascii="Times New Roman" w:hAnsi="Times New Roman"/>
          <w:szCs w:val="21"/>
        </w:rPr>
        <w:t>的授权及</w:t>
      </w:r>
      <w:r>
        <w:rPr>
          <w:rFonts w:hint="eastAsia" w:ascii="Times New Roman" w:hAnsi="Times New Roman"/>
          <w:szCs w:val="21"/>
          <w:lang w:eastAsia="zh-CN"/>
        </w:rPr>
        <w:t>《中华人民共和国个人信息保护法》</w:t>
      </w:r>
      <w:r>
        <w:rPr>
          <w:rFonts w:hint="eastAsia" w:ascii="Times New Roman" w:hAnsi="Times New Roman"/>
          <w:szCs w:val="21"/>
        </w:rPr>
        <w:t>等法律法规及监管规定的期限保存</w:t>
      </w:r>
      <w:r>
        <w:rPr>
          <w:rFonts w:hint="eastAsia" w:ascii="Times New Roman" w:hAnsi="Times New Roman"/>
          <w:szCs w:val="21"/>
          <w:lang w:val="en-US" w:eastAsia="zh-CN"/>
        </w:rPr>
        <w:t>甲方</w:t>
      </w:r>
      <w:r>
        <w:rPr>
          <w:rFonts w:hint="eastAsia" w:ascii="Times New Roman" w:hAnsi="Times New Roman"/>
          <w:szCs w:val="21"/>
        </w:rPr>
        <w:t>的相关个人信息，在符合法律、行政法规及相关监管要求的情况下，个人信息的保存期限为实现处理目的所必要的最短时间。待保存期限届满后，</w:t>
      </w:r>
      <w:r>
        <w:rPr>
          <w:rFonts w:hint="eastAsia" w:ascii="Times New Roman" w:hAnsi="Times New Roman"/>
          <w:szCs w:val="21"/>
          <w:lang w:val="en-US" w:eastAsia="zh-CN"/>
        </w:rPr>
        <w:t>乙方</w:t>
      </w:r>
      <w:r>
        <w:rPr>
          <w:rFonts w:hint="eastAsia" w:ascii="Times New Roman" w:hAnsi="Times New Roman"/>
          <w:szCs w:val="21"/>
        </w:rPr>
        <w:t>将采取技术手段从终端设备、信息系统内去除</w:t>
      </w:r>
      <w:r>
        <w:rPr>
          <w:rFonts w:hint="eastAsia" w:ascii="Times New Roman" w:hAnsi="Times New Roman"/>
          <w:szCs w:val="21"/>
          <w:lang w:val="en-US" w:eastAsia="zh-CN"/>
        </w:rPr>
        <w:t>甲方</w:t>
      </w:r>
      <w:r>
        <w:rPr>
          <w:rFonts w:hint="eastAsia" w:ascii="Times New Roman" w:hAnsi="Times New Roman"/>
          <w:szCs w:val="21"/>
        </w:rPr>
        <w:t>个人信息或进行匿名化处理，使其不可被检索、访问，或按照</w:t>
      </w:r>
      <w:r>
        <w:rPr>
          <w:rFonts w:hint="eastAsia" w:ascii="Times New Roman" w:hAnsi="Times New Roman"/>
          <w:szCs w:val="21"/>
          <w:lang w:val="en-US" w:eastAsia="zh-CN"/>
        </w:rPr>
        <w:t>乙方</w:t>
      </w:r>
      <w:r>
        <w:rPr>
          <w:rFonts w:hint="eastAsia" w:ascii="Times New Roman" w:hAnsi="Times New Roman"/>
          <w:szCs w:val="21"/>
        </w:rPr>
        <w:t>内部管理规定删除前述信息。当删除从技术上难以实现时，</w:t>
      </w:r>
      <w:r>
        <w:rPr>
          <w:rFonts w:hint="eastAsia" w:ascii="Times New Roman" w:hAnsi="Times New Roman"/>
          <w:szCs w:val="21"/>
          <w:lang w:val="en-US" w:eastAsia="zh-CN"/>
        </w:rPr>
        <w:t>乙方</w:t>
      </w:r>
      <w:r>
        <w:rPr>
          <w:rFonts w:hint="eastAsia" w:ascii="Times New Roman" w:hAnsi="Times New Roman"/>
          <w:szCs w:val="21"/>
        </w:rPr>
        <w:t>将会对前述信息停止除储存和采取必要的安全保护措施之外的处理。</w:t>
      </w:r>
    </w:p>
    <w:p>
      <w:pPr>
        <w:tabs>
          <w:tab w:val="left" w:pos="360"/>
        </w:tabs>
        <w:autoSpaceDE w:val="0"/>
        <w:autoSpaceDN w:val="0"/>
        <w:adjustRightInd w:val="0"/>
        <w:snapToGrid w:val="0"/>
        <w:spacing w:line="276" w:lineRule="auto"/>
        <w:ind w:firstLine="420" w:firstLineChars="200"/>
        <w:rPr>
          <w:rFonts w:hint="eastAsia" w:ascii="Times New Roman" w:hAnsi="Times New Roman"/>
          <w:b/>
          <w:bCs/>
          <w:szCs w:val="21"/>
        </w:rPr>
      </w:pPr>
      <w:r>
        <w:rPr>
          <w:rFonts w:hint="eastAsia" w:ascii="Times New Roman" w:hAnsi="Times New Roman"/>
          <w:szCs w:val="21"/>
        </w:rPr>
        <w:t>乙方对理财产品销售过程中获知的甲方信息承担保密义务，非经甲方事先许可，不得向上述授权范围之外的第三方透露，但法律法规或监管规定另有要求的除外。</w:t>
      </w:r>
      <w:r>
        <w:rPr>
          <w:rFonts w:hint="eastAsia" w:ascii="Times New Roman" w:hAnsi="Times New Roman"/>
          <w:b/>
          <w:bCs/>
          <w:szCs w:val="21"/>
        </w:rPr>
        <w:t>甲方充分理解并同意上述授权安排，并知悉该同意的结果系为满足法律法规、监管规定或处理本协议项下事务之目的。</w:t>
      </w:r>
    </w:p>
    <w:p>
      <w:pPr>
        <w:autoSpaceDE w:val="0"/>
        <w:autoSpaceDN w:val="0"/>
        <w:adjustRightInd w:val="0"/>
        <w:snapToGrid w:val="0"/>
        <w:spacing w:line="276" w:lineRule="auto"/>
        <w:ind w:firstLine="420" w:firstLineChars="200"/>
        <w:rPr>
          <w:rFonts w:ascii="Times New Roman" w:hAnsi="Times New Roman"/>
          <w:szCs w:val="21"/>
        </w:rPr>
      </w:pPr>
      <w:r>
        <w:rPr>
          <w:rFonts w:ascii="Times New Roman" w:hAnsi="Times New Roman"/>
          <w:szCs w:val="21"/>
        </w:rPr>
        <w:t>六、本协议与理财产品对应的《理财产品投资协议书》、《理财产品说明书》、《风险揭示书》和《投资者权益须知》构成完整的不可分割的理财产品销售文件，具有同等法律效力。</w:t>
      </w:r>
    </w:p>
    <w:p>
      <w:pPr>
        <w:autoSpaceDE w:val="0"/>
        <w:autoSpaceDN w:val="0"/>
        <w:adjustRightInd w:val="0"/>
        <w:snapToGrid w:val="0"/>
        <w:spacing w:line="276" w:lineRule="auto"/>
        <w:ind w:firstLine="420" w:firstLineChars="200"/>
        <w:rPr>
          <w:rFonts w:ascii="Times New Roman" w:hAnsi="Times New Roman"/>
          <w:szCs w:val="21"/>
        </w:rPr>
      </w:pPr>
      <w:r>
        <w:rPr>
          <w:rFonts w:hint="eastAsia" w:ascii="Times New Roman" w:hAnsi="Times New Roman"/>
          <w:szCs w:val="21"/>
        </w:rPr>
        <w:t>七、甲方购买</w:t>
      </w:r>
      <w:r>
        <w:rPr>
          <w:rFonts w:ascii="Times New Roman" w:hAnsi="Times New Roman"/>
          <w:spacing w:val="-6"/>
          <w:szCs w:val="21"/>
        </w:rPr>
        <w:t>的理财产品</w:t>
      </w:r>
      <w:r>
        <w:rPr>
          <w:rFonts w:hint="eastAsia" w:ascii="Times New Roman" w:hAnsi="Times New Roman"/>
          <w:szCs w:val="21"/>
        </w:rPr>
        <w:t>通过乙方</w:t>
      </w:r>
      <w:r>
        <w:rPr>
          <w:rFonts w:ascii="Times New Roman" w:hAnsi="Times New Roman"/>
          <w:spacing w:val="-6"/>
          <w:szCs w:val="21"/>
        </w:rPr>
        <w:t>代理销售</w:t>
      </w:r>
      <w:r>
        <w:rPr>
          <w:rFonts w:hint="eastAsia" w:ascii="Times New Roman" w:hAnsi="Times New Roman"/>
          <w:spacing w:val="-6"/>
          <w:szCs w:val="21"/>
        </w:rPr>
        <w:t>的，</w:t>
      </w:r>
      <w:r>
        <w:rPr>
          <w:rFonts w:hint="eastAsia"/>
          <w:b/>
          <w:bCs/>
        </w:rPr>
        <w:t>若乙方与产品管理人对本产品风险评级结果不一致的，乙方应当采用对应较高风险等级的评级结果并予以披露，且</w:t>
      </w:r>
      <w:r>
        <w:rPr>
          <w:rFonts w:hint="eastAsia" w:ascii="Times New Roman" w:hAnsi="Times New Roman"/>
          <w:b/>
          <w:bCs/>
          <w:spacing w:val="-6"/>
          <w:szCs w:val="21"/>
        </w:rPr>
        <w:t>理财产品评级应当以乙方最终披露的评级结果为准</w:t>
      </w:r>
      <w:r>
        <w:rPr>
          <w:rFonts w:hint="eastAsia" w:ascii="Times New Roman" w:hAnsi="Times New Roman"/>
          <w:spacing w:val="-6"/>
          <w:szCs w:val="21"/>
        </w:rPr>
        <w:t>。</w:t>
      </w:r>
    </w:p>
    <w:p>
      <w:pPr>
        <w:autoSpaceDE w:val="0"/>
        <w:autoSpaceDN w:val="0"/>
        <w:adjustRightInd w:val="0"/>
        <w:snapToGrid w:val="0"/>
        <w:spacing w:line="276" w:lineRule="auto"/>
        <w:ind w:firstLine="422" w:firstLineChars="200"/>
        <w:rPr>
          <w:rFonts w:ascii="Times New Roman" w:hAnsi="Times New Roman"/>
          <w:b/>
          <w:bCs/>
          <w:szCs w:val="21"/>
        </w:rPr>
      </w:pPr>
      <w:r>
        <w:rPr>
          <w:rFonts w:hint="eastAsia" w:ascii="Times New Roman" w:hAnsi="Times New Roman"/>
          <w:b/>
          <w:bCs/>
          <w:szCs w:val="21"/>
        </w:rPr>
        <w:t>八</w:t>
      </w:r>
      <w:r>
        <w:rPr>
          <w:rFonts w:ascii="Times New Roman" w:hAnsi="Times New Roman"/>
          <w:b/>
          <w:bCs/>
          <w:szCs w:val="21"/>
        </w:rPr>
        <w:t>、免责条款</w:t>
      </w:r>
    </w:p>
    <w:p>
      <w:pPr>
        <w:autoSpaceDE w:val="0"/>
        <w:autoSpaceDN w:val="0"/>
        <w:adjustRightInd w:val="0"/>
        <w:snapToGrid w:val="0"/>
        <w:spacing w:line="276" w:lineRule="auto"/>
        <w:ind w:firstLine="422" w:firstLineChars="200"/>
        <w:rPr>
          <w:rFonts w:ascii="宋体"/>
          <w:b/>
          <w:bCs/>
          <w:szCs w:val="21"/>
        </w:rPr>
      </w:pPr>
      <w:r>
        <w:rPr>
          <w:rFonts w:hint="eastAsia" w:ascii="宋体" w:hAnsi="宋体"/>
          <w:b/>
          <w:bCs/>
          <w:szCs w:val="21"/>
        </w:rPr>
        <w:t>（一）非乙方原因（包括但不限于甲方未按时足额缴纳本金、甲方遗失本协议、甲方协议被盗用、本协议交易账户被司法机关等有权部门冻结、扣划等原因）造成的损失，乙方不承担责任。</w:t>
      </w:r>
    </w:p>
    <w:p>
      <w:pPr>
        <w:autoSpaceDE w:val="0"/>
        <w:autoSpaceDN w:val="0"/>
        <w:adjustRightInd w:val="0"/>
        <w:snapToGrid w:val="0"/>
        <w:spacing w:line="276" w:lineRule="auto"/>
        <w:ind w:firstLine="422" w:firstLineChars="200"/>
        <w:rPr>
          <w:rFonts w:hint="eastAsia" w:ascii="宋体"/>
          <w:b/>
          <w:szCs w:val="21"/>
        </w:rPr>
      </w:pPr>
      <w:r>
        <w:rPr>
          <w:rFonts w:hint="eastAsia" w:ascii="宋体" w:hAnsi="宋体"/>
          <w:b/>
          <w:szCs w:val="21"/>
        </w:rPr>
        <w:t>（二）</w:t>
      </w:r>
      <w:r>
        <w:rPr>
          <w:rFonts w:hint="eastAsia"/>
          <w:b/>
          <w:szCs w:val="21"/>
        </w:rPr>
        <w:t>由于不可抗力事件或意外事件的出现，或</w:t>
      </w:r>
      <w:r>
        <w:rPr>
          <w:rFonts w:hint="eastAsia" w:ascii="宋体" w:hAnsi="宋体"/>
          <w:b/>
          <w:szCs w:val="21"/>
        </w:rPr>
        <w:t>乙方无过错且无法防止的外因，而导致的交易中断、延误等风险及损失，乙方不承担责任。不可抗力事件包括但不限于：法律法规及监管政策变化、紧急措施的出台，火灾、地震、洪水等</w:t>
      </w:r>
      <w:r>
        <w:rPr>
          <w:rFonts w:hint="eastAsia"/>
          <w:b/>
          <w:szCs w:val="21"/>
        </w:rPr>
        <w:t>自然灾害，战争、军事行动、罢工、流行病等不能预见、不能避免、不能克服的事件等，意外事件包括但不限于：系统故障、通讯故障、电力系统故障、金融危机、投资市场或投资品无法正常交易等。</w:t>
      </w:r>
    </w:p>
    <w:p>
      <w:pPr>
        <w:autoSpaceDE w:val="0"/>
        <w:autoSpaceDN w:val="0"/>
        <w:adjustRightInd w:val="0"/>
        <w:snapToGrid w:val="0"/>
        <w:spacing w:line="276" w:lineRule="auto"/>
        <w:ind w:firstLine="422" w:firstLineChars="200"/>
        <w:rPr>
          <w:rFonts w:hint="eastAsia" w:ascii="宋体" w:hAnsi="宋体"/>
          <w:b/>
          <w:szCs w:val="21"/>
        </w:rPr>
      </w:pPr>
      <w:r>
        <w:rPr>
          <w:rFonts w:hint="eastAsia" w:ascii="宋体" w:hAnsi="宋体"/>
          <w:b/>
          <w:szCs w:val="21"/>
        </w:rPr>
        <w:t>发生前述情形时，乙方将在条件允许的情况下采取必要合理的补救措施，尽力保护甲方利益，以减少甲方损失。</w:t>
      </w:r>
    </w:p>
    <w:p>
      <w:pPr>
        <w:autoSpaceDE w:val="0"/>
        <w:autoSpaceDN w:val="0"/>
        <w:adjustRightInd w:val="0"/>
        <w:snapToGrid w:val="0"/>
        <w:spacing w:line="276" w:lineRule="auto"/>
        <w:ind w:firstLine="422" w:firstLineChars="200"/>
        <w:rPr>
          <w:rFonts w:ascii="Times New Roman" w:hAnsi="Times New Roman"/>
          <w:b/>
          <w:bCs/>
          <w:szCs w:val="21"/>
        </w:rPr>
      </w:pPr>
      <w:r>
        <w:rPr>
          <w:rFonts w:hint="eastAsia" w:ascii="Times New Roman" w:hAnsi="Times New Roman"/>
          <w:b/>
          <w:bCs/>
          <w:szCs w:val="21"/>
        </w:rPr>
        <w:t>九</w:t>
      </w:r>
      <w:r>
        <w:rPr>
          <w:rFonts w:ascii="Times New Roman" w:hAnsi="Times New Roman"/>
          <w:b/>
          <w:bCs/>
          <w:szCs w:val="21"/>
        </w:rPr>
        <w:t>、协议的生效和终止</w:t>
      </w:r>
    </w:p>
    <w:p>
      <w:pPr>
        <w:autoSpaceDE w:val="0"/>
        <w:autoSpaceDN w:val="0"/>
        <w:adjustRightInd w:val="0"/>
        <w:snapToGrid w:val="0"/>
        <w:spacing w:line="276" w:lineRule="auto"/>
        <w:ind w:firstLine="422" w:firstLineChars="200"/>
        <w:rPr>
          <w:rFonts w:ascii="Times New Roman" w:hAnsi="Times New Roman"/>
          <w:szCs w:val="21"/>
        </w:rPr>
      </w:pPr>
      <w:r>
        <w:rPr>
          <w:rFonts w:ascii="Times New Roman" w:hAnsi="Times New Roman"/>
          <w:b/>
          <w:bCs/>
          <w:szCs w:val="21"/>
        </w:rPr>
        <w:t>1.甲方通过乙方营业网点购买</w:t>
      </w:r>
      <w:r>
        <w:rPr>
          <w:rFonts w:hint="eastAsia" w:ascii="Times New Roman" w:hAnsi="Times New Roman"/>
          <w:b/>
          <w:bCs/>
          <w:szCs w:val="21"/>
          <w:lang w:val="en-US" w:eastAsia="zh-CN"/>
        </w:rPr>
        <w:t>理财</w:t>
      </w:r>
      <w:r>
        <w:rPr>
          <w:rFonts w:ascii="Times New Roman" w:hAnsi="Times New Roman"/>
          <w:b/>
          <w:bCs/>
          <w:szCs w:val="21"/>
        </w:rPr>
        <w:t>产品的，本协议经甲方签署</w:t>
      </w:r>
      <w:r>
        <w:rPr>
          <w:rFonts w:ascii="Times New Roman" w:hAnsi="Times New Roman"/>
          <w:b/>
          <w:bCs/>
          <w:szCs w:val="21"/>
          <w:highlight w:val="none"/>
        </w:rPr>
        <w:t>后生效。</w:t>
      </w:r>
      <w:r>
        <w:rPr>
          <w:rFonts w:ascii="Times New Roman" w:hAnsi="Times New Roman"/>
          <w:b/>
          <w:bCs/>
          <w:szCs w:val="21"/>
        </w:rPr>
        <w:t>甲方通过乙方的网上银行、手机银行、智能</w:t>
      </w:r>
      <w:r>
        <w:rPr>
          <w:rFonts w:hint="eastAsia" w:ascii="Times New Roman" w:hAnsi="Times New Roman"/>
          <w:b/>
          <w:bCs/>
          <w:szCs w:val="21"/>
          <w:lang w:eastAsia="zh-CN"/>
        </w:rPr>
        <w:t>终端</w:t>
      </w:r>
      <w:r>
        <w:rPr>
          <w:rFonts w:ascii="Times New Roman" w:hAnsi="Times New Roman"/>
          <w:b/>
          <w:bCs/>
          <w:szCs w:val="21"/>
        </w:rPr>
        <w:t>等电子渠道方式购买理财产品的，甲方通过点击同意本协议后生效</w:t>
      </w:r>
      <w:r>
        <w:rPr>
          <w:rFonts w:hint="eastAsia" w:ascii="Times New Roman" w:hAnsi="Times New Roman"/>
          <w:b/>
          <w:bCs/>
          <w:szCs w:val="21"/>
        </w:rPr>
        <w:t>，</w:t>
      </w:r>
      <w:r>
        <w:rPr>
          <w:rFonts w:hint="eastAsia" w:ascii="宋体" w:hAnsi="宋体"/>
          <w:b/>
          <w:bCs/>
          <w:szCs w:val="21"/>
        </w:rPr>
        <w:t>双方认可电子数据的有效性</w:t>
      </w:r>
      <w:r>
        <w:rPr>
          <w:rFonts w:ascii="Times New Roman" w:hAnsi="Times New Roman"/>
          <w:b/>
          <w:bCs/>
          <w:szCs w:val="21"/>
        </w:rPr>
        <w:t>。</w:t>
      </w:r>
    </w:p>
    <w:p>
      <w:pPr>
        <w:autoSpaceDE w:val="0"/>
        <w:autoSpaceDN w:val="0"/>
        <w:adjustRightInd w:val="0"/>
        <w:snapToGrid w:val="0"/>
        <w:spacing w:line="276" w:lineRule="auto"/>
        <w:ind w:firstLine="422" w:firstLineChars="200"/>
        <w:rPr>
          <w:rFonts w:ascii="Times New Roman" w:hAnsi="Times New Roman"/>
          <w:b/>
          <w:bCs/>
          <w:szCs w:val="21"/>
        </w:rPr>
      </w:pPr>
      <w:r>
        <w:rPr>
          <w:rFonts w:ascii="Times New Roman" w:hAnsi="Times New Roman"/>
          <w:b/>
          <w:bCs/>
          <w:szCs w:val="21"/>
        </w:rPr>
        <w:t>2</w:t>
      </w:r>
      <w:r>
        <w:rPr>
          <w:rFonts w:hint="eastAsia" w:ascii="Times New Roman" w:hAnsi="Times New Roman"/>
          <w:b/>
          <w:bCs/>
          <w:szCs w:val="21"/>
        </w:rPr>
        <w:t>.</w:t>
      </w:r>
      <w:r>
        <w:rPr>
          <w:rFonts w:ascii="Times New Roman" w:hAnsi="Times New Roman"/>
          <w:b/>
          <w:bCs/>
          <w:szCs w:val="21"/>
        </w:rPr>
        <w:t>甲方购买理财产品失败，或理财产品到期/提前终止、甲方赎回/提前赎回并完成清算分配后，本协议自动终止。</w:t>
      </w:r>
    </w:p>
    <w:p>
      <w:pPr>
        <w:autoSpaceDE w:val="0"/>
        <w:autoSpaceDN w:val="0"/>
        <w:adjustRightInd w:val="0"/>
        <w:snapToGrid w:val="0"/>
        <w:spacing w:line="276" w:lineRule="auto"/>
        <w:ind w:firstLine="420" w:firstLineChars="200"/>
        <w:rPr>
          <w:rFonts w:ascii="Times New Roman" w:hAnsi="Times New Roman"/>
          <w:szCs w:val="21"/>
        </w:rPr>
      </w:pPr>
      <w:r>
        <w:rPr>
          <w:rFonts w:hint="eastAsia" w:ascii="宋体"/>
          <w:szCs w:val="21"/>
        </w:rPr>
        <w:t>3.甲方通过乙方提交的有效理财产品认购/申购/赎回/撤单等申请，并不意味着理财产品认购/申购/赎回/撤单等申请一定成功，具体认购/申购/赎回/撤单等申请的受理结果以</w:t>
      </w:r>
      <w:r>
        <w:rPr>
          <w:rFonts w:hint="eastAsia" w:ascii="宋体"/>
          <w:szCs w:val="21"/>
          <w:lang w:val="en-US" w:eastAsia="zh-CN"/>
        </w:rPr>
        <w:t>理财</w:t>
      </w:r>
      <w:r>
        <w:rPr>
          <w:rFonts w:hint="eastAsia" w:ascii="宋体"/>
          <w:szCs w:val="21"/>
        </w:rPr>
        <w:t>产</w:t>
      </w:r>
      <w:r>
        <w:rPr>
          <w:rFonts w:ascii="Times New Roman" w:hAnsi="Times New Roman"/>
          <w:spacing w:val="-6"/>
          <w:szCs w:val="21"/>
        </w:rPr>
        <w:t>品发行</w:t>
      </w:r>
      <w:r>
        <w:rPr>
          <w:rFonts w:hint="eastAsia" w:ascii="Times New Roman" w:hAnsi="Times New Roman"/>
          <w:spacing w:val="-6"/>
          <w:szCs w:val="21"/>
        </w:rPr>
        <w:t>与管理</w:t>
      </w:r>
      <w:r>
        <w:rPr>
          <w:rFonts w:ascii="Times New Roman" w:hAnsi="Times New Roman"/>
          <w:spacing w:val="-6"/>
          <w:szCs w:val="21"/>
        </w:rPr>
        <w:t>机构</w:t>
      </w:r>
      <w:r>
        <w:rPr>
          <w:rFonts w:hint="eastAsia" w:ascii="宋体"/>
          <w:szCs w:val="21"/>
        </w:rPr>
        <w:t>的确认为准。</w:t>
      </w:r>
    </w:p>
    <w:p>
      <w:pPr>
        <w:autoSpaceDE w:val="0"/>
        <w:autoSpaceDN w:val="0"/>
        <w:adjustRightInd w:val="0"/>
        <w:snapToGrid w:val="0"/>
        <w:spacing w:line="276" w:lineRule="auto"/>
        <w:ind w:firstLine="422" w:firstLineChars="200"/>
        <w:rPr>
          <w:rFonts w:ascii="Times New Roman" w:hAnsi="Times New Roman"/>
          <w:b/>
          <w:bCs/>
          <w:szCs w:val="21"/>
        </w:rPr>
      </w:pPr>
      <w:r>
        <w:rPr>
          <w:rFonts w:hint="eastAsia" w:ascii="Times New Roman" w:hAnsi="Times New Roman"/>
          <w:b/>
          <w:bCs/>
          <w:szCs w:val="21"/>
        </w:rPr>
        <w:t>4.</w:t>
      </w:r>
      <w:r>
        <w:rPr>
          <w:rFonts w:ascii="Times New Roman" w:hAnsi="Times New Roman"/>
          <w:b/>
          <w:bCs/>
          <w:szCs w:val="21"/>
        </w:rPr>
        <w:t>本协议及《理财产品说明书》项下各方权利义务履行完毕之日，本协议自动终止。</w:t>
      </w:r>
    </w:p>
    <w:p>
      <w:pPr>
        <w:autoSpaceDE w:val="0"/>
        <w:autoSpaceDN w:val="0"/>
        <w:adjustRightInd w:val="0"/>
        <w:snapToGrid w:val="0"/>
        <w:spacing w:line="276"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本协议一式贰份，甲乙双方各执壹份，具有同等法律效力。</w:t>
      </w:r>
    </w:p>
    <w:p>
      <w:pPr>
        <w:spacing w:line="276" w:lineRule="auto"/>
        <w:ind w:right="840" w:firstLine="422" w:firstLineChars="200"/>
        <w:rPr>
          <w:rFonts w:ascii="Times New Roman" w:hAnsi="Times New Roman"/>
          <w:b/>
          <w:bCs/>
          <w:szCs w:val="21"/>
        </w:rPr>
      </w:pPr>
      <w:r>
        <w:rPr>
          <w:rFonts w:hint="eastAsia" w:ascii="Times New Roman" w:hAnsi="Times New Roman"/>
          <w:b/>
          <w:bCs/>
          <w:szCs w:val="21"/>
        </w:rPr>
        <w:t>十</w:t>
      </w:r>
      <w:r>
        <w:rPr>
          <w:rFonts w:ascii="Times New Roman" w:hAnsi="Times New Roman"/>
          <w:b/>
          <w:bCs/>
          <w:szCs w:val="21"/>
        </w:rPr>
        <w:t>、法律适用与争论解决</w:t>
      </w:r>
    </w:p>
    <w:p>
      <w:pPr>
        <w:autoSpaceDE w:val="0"/>
        <w:autoSpaceDN w:val="0"/>
        <w:adjustRightInd w:val="0"/>
        <w:snapToGrid w:val="0"/>
        <w:spacing w:line="276" w:lineRule="auto"/>
        <w:ind w:firstLine="420" w:firstLineChars="200"/>
        <w:rPr>
          <w:rFonts w:ascii="Times New Roman" w:hAnsi="Times New Roman"/>
          <w:szCs w:val="21"/>
        </w:rPr>
      </w:pPr>
      <w:r>
        <w:rPr>
          <w:rFonts w:ascii="Times New Roman" w:hAnsi="Times New Roman"/>
          <w:szCs w:val="21"/>
        </w:rPr>
        <w:t>1.如果甲方与乙方就本产品存在多份代理销售协议，则每份协议之间相互独立、互不影响，每份协议的效力及履行情况均独立于其他协议。</w:t>
      </w:r>
    </w:p>
    <w:p>
      <w:pPr>
        <w:autoSpaceDE w:val="0"/>
        <w:autoSpaceDN w:val="0"/>
        <w:adjustRightInd w:val="0"/>
        <w:snapToGrid w:val="0"/>
        <w:spacing w:line="276" w:lineRule="auto"/>
        <w:ind w:firstLine="420" w:firstLineChars="200"/>
        <w:rPr>
          <w:rFonts w:ascii="Times New Roman" w:hAnsi="Times New Roman"/>
          <w:szCs w:val="21"/>
        </w:rPr>
      </w:pPr>
      <w:r>
        <w:rPr>
          <w:rFonts w:ascii="Times New Roman" w:hAnsi="Times New Roman"/>
          <w:szCs w:val="21"/>
        </w:rPr>
        <w:t>2.如果由于任何原因使本协议下的部分条款无效，本协议其他条款效力不受影响。</w:t>
      </w:r>
    </w:p>
    <w:p>
      <w:pPr>
        <w:autoSpaceDE w:val="0"/>
        <w:autoSpaceDN w:val="0"/>
        <w:adjustRightInd w:val="0"/>
        <w:snapToGrid w:val="0"/>
        <w:spacing w:line="276" w:lineRule="auto"/>
        <w:ind w:firstLine="422" w:firstLineChars="200"/>
        <w:rPr>
          <w:rFonts w:ascii="Times New Roman" w:hAnsi="Times New Roman"/>
          <w:b/>
          <w:bCs/>
          <w:szCs w:val="21"/>
        </w:rPr>
      </w:pPr>
      <w:r>
        <w:rPr>
          <w:rFonts w:ascii="Times New Roman" w:hAnsi="Times New Roman"/>
          <w:b/>
          <w:bCs/>
          <w:szCs w:val="21"/>
        </w:rPr>
        <w:t>3.本协议适用中华人民共和国大陆地区法律。本协议项下及与之有关的一切争议，双方应先协商解决，协商不成的，应向</w:t>
      </w:r>
      <w:r>
        <w:rPr>
          <w:rFonts w:hint="eastAsia" w:ascii="Times New Roman" w:hAnsi="Times New Roman"/>
          <w:b/>
          <w:bCs/>
          <w:szCs w:val="21"/>
          <w:lang w:val="en-US" w:eastAsia="zh-CN"/>
        </w:rPr>
        <w:t>被告方</w:t>
      </w:r>
      <w:r>
        <w:rPr>
          <w:rFonts w:ascii="Times New Roman" w:hAnsi="Times New Roman"/>
          <w:b/>
          <w:bCs/>
          <w:szCs w:val="21"/>
        </w:rPr>
        <w:t>住所地有管辖权的人民法院提起诉讼。</w:t>
      </w:r>
    </w:p>
    <w:p>
      <w:pPr>
        <w:autoSpaceDE w:val="0"/>
        <w:autoSpaceDN w:val="0"/>
        <w:adjustRightInd w:val="0"/>
        <w:snapToGrid w:val="0"/>
        <w:spacing w:line="276" w:lineRule="auto"/>
        <w:ind w:firstLine="422" w:firstLineChars="200"/>
        <w:rPr>
          <w:rFonts w:ascii="Times New Roman" w:hAnsi="Times New Roman"/>
          <w:b/>
          <w:bCs/>
          <w:szCs w:val="21"/>
        </w:rPr>
      </w:pPr>
      <w:r>
        <w:rPr>
          <w:rFonts w:ascii="Times New Roman" w:hAnsi="Times New Roman"/>
          <w:b/>
          <w:bCs/>
          <w:szCs w:val="21"/>
        </w:rPr>
        <w:t>十</w:t>
      </w:r>
      <w:r>
        <w:rPr>
          <w:rFonts w:hint="eastAsia" w:ascii="Times New Roman" w:hAnsi="Times New Roman"/>
          <w:b/>
          <w:bCs/>
          <w:szCs w:val="21"/>
        </w:rPr>
        <w:t>一</w:t>
      </w:r>
      <w:r>
        <w:rPr>
          <w:rFonts w:ascii="Times New Roman" w:hAnsi="Times New Roman"/>
          <w:b/>
          <w:bCs/>
          <w:szCs w:val="21"/>
        </w:rPr>
        <w:t>、咨询、投诉与建议</w:t>
      </w:r>
    </w:p>
    <w:p>
      <w:pPr>
        <w:autoSpaceDE w:val="0"/>
        <w:autoSpaceDN w:val="0"/>
        <w:adjustRightInd w:val="0"/>
        <w:snapToGrid w:val="0"/>
        <w:spacing w:line="276" w:lineRule="auto"/>
        <w:ind w:firstLine="420" w:firstLineChars="200"/>
        <w:rPr>
          <w:rFonts w:ascii="Times New Roman" w:hAnsi="Times New Roman"/>
          <w:szCs w:val="21"/>
        </w:rPr>
      </w:pPr>
      <w:r>
        <w:rPr>
          <w:rFonts w:hint="eastAsia" w:ascii="Times New Roman" w:hAnsi="Times New Roman"/>
          <w:szCs w:val="21"/>
          <w:lang w:eastAsia="zh-CN"/>
        </w:rPr>
        <w:t>（</w:t>
      </w:r>
      <w:r>
        <w:rPr>
          <w:rFonts w:hint="eastAsia" w:ascii="Times New Roman" w:hAnsi="Times New Roman"/>
          <w:szCs w:val="21"/>
          <w:lang w:val="en-US" w:eastAsia="zh-CN"/>
        </w:rPr>
        <w:t>一</w:t>
      </w:r>
      <w:r>
        <w:rPr>
          <w:rFonts w:hint="eastAsia" w:ascii="Times New Roman" w:hAnsi="Times New Roman"/>
          <w:szCs w:val="21"/>
          <w:lang w:eastAsia="zh-CN"/>
        </w:rPr>
        <w:t>）</w:t>
      </w:r>
      <w:r>
        <w:rPr>
          <w:rFonts w:ascii="Times New Roman" w:hAnsi="Times New Roman"/>
          <w:szCs w:val="21"/>
        </w:rPr>
        <w:t>甲方对乙方理财产品销售方面有任何疑问、投诉或意见建议，可通过以下途径反映：</w:t>
      </w:r>
    </w:p>
    <w:p>
      <w:pPr>
        <w:autoSpaceDE w:val="0"/>
        <w:autoSpaceDN w:val="0"/>
        <w:adjustRightInd w:val="0"/>
        <w:snapToGrid w:val="0"/>
        <w:spacing w:line="276" w:lineRule="auto"/>
        <w:ind w:firstLine="420" w:firstLineChars="200"/>
        <w:rPr>
          <w:rFonts w:ascii="Times New Roman" w:hAnsi="Times New Roman"/>
          <w:szCs w:val="21"/>
        </w:rPr>
      </w:pPr>
      <w:r>
        <w:rPr>
          <w:rFonts w:ascii="Times New Roman" w:hAnsi="Times New Roman"/>
          <w:szCs w:val="21"/>
        </w:rPr>
        <w:t>1.乙方销售理财产品的营业网点工作人员</w:t>
      </w:r>
    </w:p>
    <w:p>
      <w:pPr>
        <w:autoSpaceDE w:val="0"/>
        <w:autoSpaceDN w:val="0"/>
        <w:adjustRightInd w:val="0"/>
        <w:snapToGrid w:val="0"/>
        <w:spacing w:line="276" w:lineRule="auto"/>
        <w:ind w:firstLine="420" w:firstLineChars="200"/>
        <w:rPr>
          <w:rFonts w:hint="default" w:ascii="Times New Roman" w:hAnsi="Times New Roman" w:eastAsia="宋体"/>
          <w:szCs w:val="21"/>
          <w:lang w:val="en-US" w:eastAsia="zh-CN"/>
        </w:rPr>
      </w:pPr>
      <w:r>
        <w:rPr>
          <w:rFonts w:ascii="Times New Roman" w:hAnsi="Times New Roman"/>
          <w:szCs w:val="21"/>
        </w:rPr>
        <w:t>2.</w:t>
      </w:r>
      <w:r>
        <w:rPr>
          <w:rFonts w:hint="eastAsia" w:ascii="Times New Roman" w:hAnsi="Times New Roman"/>
          <w:szCs w:val="21"/>
          <w:lang w:val="en-US" w:eastAsia="zh-CN"/>
        </w:rPr>
        <w:t>客服热线：</w:t>
      </w:r>
    </w:p>
    <w:p>
      <w:pPr>
        <w:autoSpaceDE w:val="0"/>
        <w:autoSpaceDN w:val="0"/>
        <w:adjustRightInd w:val="0"/>
        <w:snapToGrid w:val="0"/>
        <w:spacing w:line="276" w:lineRule="auto"/>
        <w:ind w:left="420" w:leftChars="200" w:firstLine="0" w:firstLineChars="0"/>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大陆地区客服热线： 400-858-8888</w:t>
      </w:r>
      <w:r>
        <w:rPr>
          <w:rFonts w:hint="default" w:ascii="Times New Roman" w:hAnsi="Times New Roman" w:eastAsia="宋体" w:cs="Times New Roman"/>
          <w:kern w:val="2"/>
          <w:sz w:val="21"/>
          <w:szCs w:val="21"/>
          <w:lang w:val="en-US" w:eastAsia="zh-CN"/>
        </w:rPr>
        <w:br w:type="textWrapping"/>
      </w:r>
      <w:r>
        <w:rPr>
          <w:rFonts w:hint="default" w:ascii="Times New Roman" w:hAnsi="Times New Roman" w:eastAsia="宋体" w:cs="Times New Roman"/>
          <w:kern w:val="2"/>
          <w:sz w:val="21"/>
          <w:szCs w:val="21"/>
          <w:lang w:val="en-US" w:eastAsia="zh-CN"/>
        </w:rPr>
        <w:t>台湾地区客服热线： 0080-186-3155</w:t>
      </w:r>
    </w:p>
    <w:p>
      <w:pPr>
        <w:numPr>
          <w:ilvl w:val="0"/>
          <w:numId w:val="0"/>
        </w:numPr>
        <w:autoSpaceDE w:val="0"/>
        <w:autoSpaceDN w:val="0"/>
        <w:adjustRightInd w:val="0"/>
        <w:snapToGrid w:val="0"/>
        <w:spacing w:line="276" w:lineRule="auto"/>
        <w:ind w:left="420" w:leftChars="200" w:firstLine="0" w:firstLineChars="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3.</w:t>
      </w:r>
      <w:r>
        <w:rPr>
          <w:rFonts w:hint="default" w:ascii="Times New Roman" w:hAnsi="Times New Roman" w:eastAsia="宋体" w:cs="Times New Roman"/>
          <w:kern w:val="2"/>
          <w:sz w:val="21"/>
          <w:szCs w:val="21"/>
          <w:lang w:val="en-US" w:eastAsia="zh-CN"/>
        </w:rPr>
        <w:t>电子邮箱：</w:t>
      </w:r>
      <w:r>
        <w:rPr>
          <w:rFonts w:hint="default" w:ascii="Times New Roman" w:hAnsi="Times New Roman" w:eastAsia="宋体" w:cs="Times New Roman"/>
          <w:kern w:val="2"/>
          <w:sz w:val="21"/>
          <w:szCs w:val="21"/>
          <w:lang w:val="en-US" w:eastAsia="zh-CN"/>
        </w:rPr>
        <w:br w:type="textWrapping"/>
      </w:r>
      <w:r>
        <w:rPr>
          <w:rFonts w:hint="default" w:ascii="Times New Roman" w:hAnsi="Times New Roman" w:eastAsia="宋体" w:cs="Times New Roman"/>
          <w:kern w:val="2"/>
          <w:sz w:val="21"/>
          <w:szCs w:val="21"/>
          <w:lang w:val="en-US" w:eastAsia="zh-CN"/>
        </w:rPr>
        <w:t>投诉受理邮箱：  4008588888@xmbankonline.com</w:t>
      </w:r>
      <w:r>
        <w:rPr>
          <w:rFonts w:hint="default" w:ascii="Times New Roman" w:hAnsi="Times New Roman" w:eastAsia="宋体" w:cs="Times New Roman"/>
          <w:kern w:val="2"/>
          <w:sz w:val="21"/>
          <w:szCs w:val="21"/>
          <w:lang w:val="en-US" w:eastAsia="zh-CN"/>
        </w:rPr>
        <w:br w:type="textWrapping"/>
      </w:r>
      <w:r>
        <w:rPr>
          <w:rFonts w:hint="default" w:ascii="Times New Roman" w:hAnsi="Times New Roman" w:eastAsia="宋体" w:cs="Times New Roman"/>
          <w:kern w:val="2"/>
          <w:sz w:val="21"/>
          <w:szCs w:val="21"/>
          <w:lang w:val="en-US" w:eastAsia="zh-CN"/>
        </w:rPr>
        <w:t>个人信息保护负责人联系方式：</w:t>
      </w:r>
      <w:r>
        <w:rPr>
          <w:rFonts w:hint="default" w:ascii="Times New Roman" w:hAnsi="Times New Roman" w:eastAsia="宋体" w:cs="Times New Roman"/>
          <w:kern w:val="2"/>
          <w:sz w:val="21"/>
          <w:szCs w:val="21"/>
          <w:lang w:val="en-US" w:eastAsia="zh-CN"/>
        </w:rPr>
        <w:fldChar w:fldCharType="begin"/>
      </w:r>
      <w:r>
        <w:rPr>
          <w:rFonts w:hint="default" w:ascii="Times New Roman" w:hAnsi="Times New Roman" w:eastAsia="宋体" w:cs="Times New Roman"/>
          <w:kern w:val="2"/>
          <w:sz w:val="21"/>
          <w:szCs w:val="21"/>
          <w:lang w:val="en-US" w:eastAsia="zh-CN"/>
        </w:rPr>
        <w:instrText xml:space="preserve"> HYPERLINK "mailto:gbfzr@xmbankonline.com" </w:instrText>
      </w:r>
      <w:r>
        <w:rPr>
          <w:rFonts w:hint="default" w:ascii="Times New Roman" w:hAnsi="Times New Roman" w:eastAsia="宋体" w:cs="Times New Roman"/>
          <w:kern w:val="2"/>
          <w:sz w:val="21"/>
          <w:szCs w:val="21"/>
          <w:lang w:val="en-US" w:eastAsia="zh-CN"/>
        </w:rPr>
        <w:fldChar w:fldCharType="separate"/>
      </w:r>
      <w:r>
        <w:rPr>
          <w:rStyle w:val="11"/>
          <w:rFonts w:hint="default" w:ascii="Times New Roman" w:hAnsi="Times New Roman" w:eastAsia="宋体" w:cs="Times New Roman"/>
          <w:kern w:val="2"/>
          <w:sz w:val="21"/>
          <w:szCs w:val="21"/>
          <w:lang w:val="en-US" w:eastAsia="zh-CN"/>
        </w:rPr>
        <w:t>gbfzr@xmbankonline.com</w:t>
      </w:r>
      <w:r>
        <w:rPr>
          <w:rFonts w:hint="default" w:ascii="Times New Roman" w:hAnsi="Times New Roman" w:eastAsia="宋体" w:cs="Times New Roman"/>
          <w:kern w:val="2"/>
          <w:sz w:val="21"/>
          <w:szCs w:val="21"/>
          <w:lang w:val="en-US" w:eastAsia="zh-CN"/>
        </w:rPr>
        <w:fldChar w:fldCharType="end"/>
      </w:r>
    </w:p>
    <w:p>
      <w:pPr>
        <w:numPr>
          <w:ilvl w:val="0"/>
          <w:numId w:val="0"/>
        </w:numPr>
        <w:autoSpaceDE w:val="0"/>
        <w:autoSpaceDN w:val="0"/>
        <w:adjustRightInd w:val="0"/>
        <w:snapToGrid w:val="0"/>
        <w:spacing w:line="276" w:lineRule="auto"/>
        <w:ind w:left="420" w:leftChars="200" w:firstLine="0" w:firstLineChars="0"/>
        <w:rPr>
          <w:rFonts w:ascii="Times New Roman" w:hAnsi="Times New Roman"/>
          <w:szCs w:val="21"/>
        </w:rPr>
      </w:pPr>
      <w:r>
        <w:rPr>
          <w:rFonts w:hint="eastAsia" w:ascii="Times New Roman" w:hAnsi="Times New Roman" w:cs="Times New Roman"/>
          <w:kern w:val="2"/>
          <w:sz w:val="21"/>
          <w:szCs w:val="21"/>
          <w:lang w:val="en-US" w:eastAsia="zh-CN"/>
        </w:rPr>
        <w:t>4.</w:t>
      </w:r>
      <w:r>
        <w:rPr>
          <w:rFonts w:hint="default" w:ascii="Times New Roman" w:hAnsi="Times New Roman" w:eastAsia="宋体" w:cs="Times New Roman"/>
          <w:kern w:val="2"/>
          <w:sz w:val="21"/>
          <w:szCs w:val="21"/>
          <w:lang w:val="en-US" w:eastAsia="zh-CN"/>
        </w:rPr>
        <w:t>信函渠道： </w:t>
      </w:r>
      <w:r>
        <w:rPr>
          <w:rFonts w:hint="default" w:ascii="Times New Roman" w:hAnsi="Times New Roman" w:eastAsia="宋体" w:cs="Times New Roman"/>
          <w:kern w:val="2"/>
          <w:sz w:val="21"/>
          <w:szCs w:val="21"/>
          <w:lang w:val="en-US" w:eastAsia="zh-CN"/>
        </w:rPr>
        <w:br w:type="textWrapping"/>
      </w:r>
      <w:r>
        <w:rPr>
          <w:rFonts w:hint="default" w:ascii="Times New Roman" w:hAnsi="Times New Roman" w:eastAsia="宋体" w:cs="Times New Roman"/>
          <w:kern w:val="2"/>
          <w:sz w:val="21"/>
          <w:szCs w:val="21"/>
          <w:lang w:val="en-US" w:eastAsia="zh-CN"/>
        </w:rPr>
        <w:t>福建省厦门市思明区湖滨北路101号厦门银行</w:t>
      </w:r>
      <w:r>
        <w:rPr>
          <w:rFonts w:hint="default" w:ascii="Times New Roman" w:hAnsi="Times New Roman" w:eastAsia="宋体" w:cs="Times New Roman"/>
          <w:kern w:val="2"/>
          <w:sz w:val="21"/>
          <w:szCs w:val="21"/>
          <w:lang w:val="en-US" w:eastAsia="zh-CN"/>
        </w:rPr>
        <w:br w:type="textWrapping"/>
      </w:r>
      <w:r>
        <w:rPr>
          <w:rFonts w:hint="default" w:ascii="Times New Roman" w:hAnsi="Times New Roman" w:eastAsia="宋体" w:cs="Times New Roman"/>
          <w:kern w:val="2"/>
          <w:sz w:val="21"/>
          <w:szCs w:val="21"/>
          <w:lang w:val="en-US" w:eastAsia="zh-CN"/>
        </w:rPr>
        <w:t>消费者权益保护中心</w:t>
      </w:r>
      <w:r>
        <w:rPr>
          <w:rFonts w:hint="default" w:ascii="Times New Roman" w:hAnsi="Times New Roman" w:eastAsia="宋体" w:cs="Times New Roman"/>
          <w:kern w:val="2"/>
          <w:sz w:val="21"/>
          <w:szCs w:val="21"/>
          <w:lang w:val="en-US" w:eastAsia="zh-CN"/>
        </w:rPr>
        <w:br w:type="textWrapping"/>
      </w:r>
      <w:r>
        <w:rPr>
          <w:rFonts w:hint="default" w:ascii="Times New Roman" w:hAnsi="Times New Roman" w:eastAsia="宋体" w:cs="Times New Roman"/>
          <w:kern w:val="2"/>
          <w:sz w:val="21"/>
          <w:szCs w:val="21"/>
          <w:lang w:val="en-US" w:eastAsia="zh-CN"/>
        </w:rPr>
        <w:t>邮编361012</w:t>
      </w:r>
    </w:p>
    <w:p>
      <w:pPr>
        <w:numPr>
          <w:ilvl w:val="0"/>
          <w:numId w:val="0"/>
        </w:numPr>
        <w:autoSpaceDE w:val="0"/>
        <w:autoSpaceDN w:val="0"/>
        <w:adjustRightInd w:val="0"/>
        <w:snapToGrid w:val="0"/>
        <w:spacing w:line="276" w:lineRule="auto"/>
        <w:ind w:left="420" w:leftChars="200" w:firstLine="0" w:firstLineChars="0"/>
        <w:rPr>
          <w:rFonts w:hint="default" w:ascii="Times New Roman" w:hAnsi="Times New Roman"/>
          <w:szCs w:val="21"/>
        </w:rPr>
      </w:pPr>
      <w:r>
        <w:rPr>
          <w:rFonts w:hint="eastAsia" w:ascii="Times New Roman" w:hAnsi="Times New Roman"/>
          <w:szCs w:val="21"/>
          <w:lang w:val="en-US" w:eastAsia="zh-CN"/>
        </w:rPr>
        <w:t>5.</w:t>
      </w:r>
      <w:r>
        <w:rPr>
          <w:rFonts w:hint="default" w:ascii="Times New Roman" w:hAnsi="Times New Roman"/>
          <w:szCs w:val="21"/>
        </w:rPr>
        <w:t>在线客服：</w:t>
      </w:r>
    </w:p>
    <w:p>
      <w:pPr>
        <w:numPr>
          <w:ilvl w:val="0"/>
          <w:numId w:val="0"/>
        </w:numPr>
        <w:autoSpaceDE w:val="0"/>
        <w:autoSpaceDN w:val="0"/>
        <w:adjustRightInd w:val="0"/>
        <w:snapToGrid w:val="0"/>
        <w:spacing w:line="276" w:lineRule="auto"/>
        <w:ind w:left="420" w:leftChars="200" w:firstLine="0" w:firstLineChars="0"/>
        <w:rPr>
          <w:rFonts w:hint="default" w:ascii="Times New Roman" w:hAnsi="Times New Roman"/>
          <w:szCs w:val="21"/>
        </w:rPr>
      </w:pPr>
      <w:r>
        <w:rPr>
          <w:rFonts w:hint="default" w:ascii="Times New Roman" w:hAnsi="Times New Roman"/>
          <w:szCs w:val="21"/>
        </w:rPr>
        <w:t>手机银行：登录手机银行首页，右上角点击“在线客服”</w:t>
      </w:r>
    </w:p>
    <w:p>
      <w:pPr>
        <w:numPr>
          <w:ilvl w:val="0"/>
          <w:numId w:val="0"/>
        </w:numPr>
        <w:autoSpaceDE w:val="0"/>
        <w:autoSpaceDN w:val="0"/>
        <w:adjustRightInd w:val="0"/>
        <w:snapToGrid w:val="0"/>
        <w:spacing w:line="276" w:lineRule="auto"/>
        <w:ind w:left="420" w:leftChars="200" w:firstLine="0" w:firstLineChars="0"/>
        <w:rPr>
          <w:rFonts w:ascii="Times New Roman" w:hAnsi="Times New Roman"/>
          <w:szCs w:val="21"/>
        </w:rPr>
      </w:pPr>
      <w:r>
        <w:rPr>
          <w:rFonts w:hint="default" w:ascii="Times New Roman" w:hAnsi="Times New Roman"/>
          <w:szCs w:val="21"/>
        </w:rPr>
        <w:t>网上银行：登录网上银行，右上角点击“在线客服”</w:t>
      </w:r>
    </w:p>
    <w:p>
      <w:pPr>
        <w:autoSpaceDE w:val="0"/>
        <w:autoSpaceDN w:val="0"/>
        <w:adjustRightInd w:val="0"/>
        <w:snapToGrid w:val="0"/>
        <w:spacing w:line="276" w:lineRule="auto"/>
        <w:ind w:firstLine="420" w:firstLineChars="200"/>
        <w:rPr>
          <w:rFonts w:ascii="Times New Roman" w:hAnsi="Times New Roman"/>
          <w:szCs w:val="21"/>
        </w:rPr>
      </w:pPr>
      <w:r>
        <w:rPr>
          <w:rFonts w:hint="eastAsia" w:ascii="Times New Roman" w:hAnsi="Times New Roman"/>
          <w:szCs w:val="21"/>
          <w:lang w:eastAsia="zh-CN"/>
        </w:rPr>
        <w:t>（</w:t>
      </w:r>
      <w:r>
        <w:rPr>
          <w:rFonts w:hint="eastAsia" w:ascii="Times New Roman" w:hAnsi="Times New Roman"/>
          <w:szCs w:val="21"/>
          <w:lang w:val="en-US" w:eastAsia="zh-CN"/>
        </w:rPr>
        <w:t>二</w:t>
      </w:r>
      <w:r>
        <w:rPr>
          <w:rFonts w:hint="eastAsia" w:ascii="Times New Roman" w:hAnsi="Times New Roman"/>
          <w:szCs w:val="21"/>
          <w:lang w:eastAsia="zh-CN"/>
        </w:rPr>
        <w:t>）</w:t>
      </w:r>
      <w:r>
        <w:rPr>
          <w:rFonts w:ascii="Times New Roman" w:hAnsi="Times New Roman"/>
          <w:szCs w:val="21"/>
        </w:rPr>
        <w:t>如甲方有对理财产品发行与管理相关的投诉与建议，可通过</w:t>
      </w:r>
      <w:r>
        <w:rPr>
          <w:rFonts w:hint="eastAsia" w:ascii="Times New Roman" w:hAnsi="Times New Roman"/>
          <w:szCs w:val="21"/>
          <w:lang w:val="en-US" w:eastAsia="zh-CN"/>
        </w:rPr>
        <w:t>本条款中第（一）款的方式</w:t>
      </w:r>
      <w:r>
        <w:rPr>
          <w:rFonts w:ascii="Times New Roman" w:hAnsi="Times New Roman"/>
          <w:szCs w:val="21"/>
        </w:rPr>
        <w:t>进行反映，</w:t>
      </w:r>
      <w:r>
        <w:rPr>
          <w:rFonts w:hint="eastAsia" w:ascii="Times New Roman" w:hAnsi="Times New Roman"/>
          <w:szCs w:val="21"/>
          <w:lang w:val="en-US" w:eastAsia="zh-CN"/>
        </w:rPr>
        <w:t>以上方式</w:t>
      </w:r>
      <w:r>
        <w:rPr>
          <w:rFonts w:ascii="Times New Roman" w:hAnsi="Times New Roman"/>
          <w:szCs w:val="21"/>
        </w:rPr>
        <w:t>仅为</w:t>
      </w:r>
      <w:r>
        <w:rPr>
          <w:rFonts w:hint="eastAsia" w:ascii="Times New Roman" w:hAnsi="Times New Roman"/>
          <w:szCs w:val="21"/>
          <w:lang w:val="en-US" w:eastAsia="zh-CN"/>
        </w:rPr>
        <w:t>乙方的</w:t>
      </w:r>
      <w:r>
        <w:rPr>
          <w:rFonts w:ascii="Times New Roman" w:hAnsi="Times New Roman"/>
          <w:szCs w:val="21"/>
        </w:rPr>
        <w:t>受理渠道，最终以</w:t>
      </w:r>
      <w:r>
        <w:rPr>
          <w:rFonts w:hint="eastAsia" w:ascii="Times New Roman" w:hAnsi="Times New Roman"/>
          <w:szCs w:val="21"/>
          <w:lang w:val="en-US" w:eastAsia="zh-CN"/>
        </w:rPr>
        <w:t>理财</w:t>
      </w:r>
      <w:r>
        <w:rPr>
          <w:rFonts w:ascii="Times New Roman" w:hAnsi="Times New Roman"/>
          <w:szCs w:val="21"/>
        </w:rPr>
        <w:t>产品发行</w:t>
      </w:r>
      <w:r>
        <w:rPr>
          <w:rFonts w:hint="eastAsia" w:ascii="Times New Roman" w:hAnsi="Times New Roman"/>
          <w:szCs w:val="21"/>
        </w:rPr>
        <w:t>与管理</w:t>
      </w:r>
      <w:r>
        <w:rPr>
          <w:rFonts w:ascii="Times New Roman" w:hAnsi="Times New Roman"/>
          <w:szCs w:val="21"/>
        </w:rPr>
        <w:t>机构处理结果或回复意见为准。</w:t>
      </w:r>
    </w:p>
    <w:p>
      <w:pPr>
        <w:autoSpaceDE w:val="0"/>
        <w:autoSpaceDN w:val="0"/>
        <w:adjustRightInd w:val="0"/>
        <w:snapToGrid w:val="0"/>
        <w:spacing w:line="276" w:lineRule="auto"/>
        <w:ind w:firstLine="420" w:firstLineChars="200"/>
        <w:rPr>
          <w:rFonts w:hint="default" w:ascii="Times New Roman" w:hAnsi="Times New Roman"/>
          <w:szCs w:val="21"/>
        </w:rPr>
      </w:pPr>
      <w:r>
        <w:rPr>
          <w:rFonts w:hint="eastAsia" w:ascii="Times New Roman" w:hAnsi="Times New Roman"/>
          <w:szCs w:val="21"/>
          <w:lang w:eastAsia="zh-CN"/>
        </w:rPr>
        <w:t>（</w:t>
      </w:r>
      <w:r>
        <w:rPr>
          <w:rFonts w:hint="eastAsia" w:ascii="Times New Roman" w:hAnsi="Times New Roman"/>
          <w:szCs w:val="21"/>
          <w:lang w:val="en-US" w:eastAsia="zh-CN"/>
        </w:rPr>
        <w:t>三</w:t>
      </w:r>
      <w:r>
        <w:rPr>
          <w:rFonts w:hint="eastAsia" w:ascii="Times New Roman" w:hAnsi="Times New Roman"/>
          <w:szCs w:val="21"/>
          <w:lang w:eastAsia="zh-CN"/>
        </w:rPr>
        <w:t>）</w:t>
      </w:r>
      <w:r>
        <w:rPr>
          <w:rFonts w:hint="default" w:ascii="Times New Roman" w:hAnsi="Times New Roman"/>
          <w:szCs w:val="21"/>
        </w:rPr>
        <w:t>受理</w:t>
      </w:r>
      <w:r>
        <w:rPr>
          <w:rFonts w:hint="eastAsia" w:ascii="Times New Roman" w:hAnsi="Times New Roman"/>
          <w:szCs w:val="21"/>
          <w:lang w:val="en-US" w:eastAsia="zh-CN"/>
        </w:rPr>
        <w:t>甲方</w:t>
      </w:r>
      <w:r>
        <w:rPr>
          <w:rFonts w:hint="default" w:ascii="Times New Roman" w:hAnsi="Times New Roman"/>
          <w:szCs w:val="21"/>
        </w:rPr>
        <w:t>的问题后，</w:t>
      </w:r>
      <w:r>
        <w:rPr>
          <w:rFonts w:hint="eastAsia" w:ascii="Times New Roman" w:hAnsi="Times New Roman"/>
          <w:szCs w:val="21"/>
          <w:lang w:val="en-US" w:eastAsia="zh-CN"/>
        </w:rPr>
        <w:t>乙方将</w:t>
      </w:r>
      <w:r>
        <w:rPr>
          <w:rFonts w:hint="default" w:ascii="Times New Roman" w:hAnsi="Times New Roman"/>
          <w:szCs w:val="21"/>
        </w:rPr>
        <w:t>及时进行处理，并在15日内回复处理意见或结果，请</w:t>
      </w:r>
      <w:r>
        <w:rPr>
          <w:rFonts w:hint="eastAsia" w:ascii="Times New Roman" w:hAnsi="Times New Roman"/>
          <w:szCs w:val="21"/>
          <w:lang w:val="en-US" w:eastAsia="zh-CN"/>
        </w:rPr>
        <w:t>甲方</w:t>
      </w:r>
      <w:r>
        <w:rPr>
          <w:rFonts w:hint="default" w:ascii="Times New Roman" w:hAnsi="Times New Roman"/>
          <w:szCs w:val="21"/>
        </w:rPr>
        <w:t>保持接收渠道畅通。</w:t>
      </w:r>
    </w:p>
    <w:p>
      <w:pPr>
        <w:autoSpaceDE w:val="0"/>
        <w:autoSpaceDN w:val="0"/>
        <w:adjustRightInd w:val="0"/>
        <w:snapToGrid w:val="0"/>
        <w:spacing w:line="276" w:lineRule="auto"/>
        <w:ind w:firstLine="420" w:firstLineChars="200"/>
        <w:rPr>
          <w:rFonts w:hint="default" w:ascii="Times New Roman" w:hAnsi="Times New Roman"/>
          <w:szCs w:val="21"/>
        </w:rPr>
      </w:pPr>
    </w:p>
    <w:p>
      <w:pPr>
        <w:spacing w:line="276" w:lineRule="auto"/>
        <w:ind w:left="7440" w:hanging="7440"/>
        <w:rPr>
          <w:rFonts w:hint="default" w:ascii="Times New Roman" w:hAnsi="Times New Roman" w:eastAsia="宋体"/>
          <w:szCs w:val="21"/>
          <w:highlight w:val="none"/>
          <w:lang w:val="en-US" w:eastAsia="zh-CN"/>
        </w:rPr>
      </w:pPr>
      <w:r>
        <w:rPr>
          <w:rFonts w:ascii="Times New Roman" w:hAnsi="Times New Roman"/>
          <w:szCs w:val="21"/>
        </w:rPr>
        <w:t>甲方:                                            乙</w:t>
      </w:r>
      <w:r>
        <w:rPr>
          <w:rFonts w:ascii="Times New Roman" w:hAnsi="Times New Roman"/>
          <w:szCs w:val="21"/>
          <w:highlight w:val="none"/>
        </w:rPr>
        <w:t>方：</w:t>
      </w:r>
      <w:r>
        <w:rPr>
          <w:rFonts w:hint="eastAsia" w:ascii="Times New Roman" w:hAnsi="Times New Roman"/>
          <w:szCs w:val="21"/>
          <w:highlight w:val="none"/>
          <w:lang w:val="en-US" w:eastAsia="zh-CN"/>
        </w:rPr>
        <w:t>厦门银行股份有限公司</w:t>
      </w:r>
    </w:p>
    <w:p>
      <w:pPr>
        <w:spacing w:line="276" w:lineRule="auto"/>
        <w:ind w:left="7440" w:hanging="7440"/>
        <w:rPr>
          <w:rFonts w:ascii="Times New Roman" w:hAnsi="Times New Roman"/>
          <w:sz w:val="24"/>
        </w:rPr>
      </w:pPr>
    </w:p>
    <w:p>
      <w:pPr>
        <w:spacing w:line="276" w:lineRule="auto"/>
        <w:ind w:left="7440" w:hanging="7440"/>
        <w:rPr>
          <w:rFonts w:ascii="Times New Roman" w:hAnsi="Times New Roman"/>
          <w:szCs w:val="21"/>
        </w:rPr>
      </w:pPr>
    </w:p>
    <w:p>
      <w:pPr>
        <w:spacing w:line="276" w:lineRule="auto"/>
        <w:ind w:left="7440" w:hanging="7440"/>
        <w:rPr>
          <w:rFonts w:ascii="Times New Roman" w:hAnsi="Times New Roman"/>
          <w:sz w:val="24"/>
        </w:rPr>
      </w:pPr>
      <w:r>
        <w:rPr>
          <w:rFonts w:ascii="Times New Roman" w:hAnsi="Times New Roman"/>
          <w:szCs w:val="21"/>
        </w:rPr>
        <w:t xml:space="preserve">个人投资者签字：                              </w:t>
      </w:r>
    </w:p>
    <w:p>
      <w:pPr>
        <w:spacing w:line="276" w:lineRule="auto"/>
        <w:rPr>
          <w:rFonts w:ascii="Times New Roman" w:hAnsi="Times New Roman"/>
          <w:szCs w:val="21"/>
        </w:rPr>
      </w:pPr>
    </w:p>
    <w:p>
      <w:pPr>
        <w:spacing w:line="276" w:lineRule="auto"/>
        <w:rPr>
          <w:rFonts w:ascii="Times New Roman" w:hAnsi="Times New Roman"/>
          <w:szCs w:val="21"/>
        </w:rPr>
      </w:pPr>
    </w:p>
    <w:p>
      <w:pPr>
        <w:adjustRightInd w:val="0"/>
        <w:snapToGrid w:val="0"/>
        <w:spacing w:line="276" w:lineRule="auto"/>
        <w:rPr>
          <w:rFonts w:ascii="Times New Roman" w:hAnsi="Times New Roman"/>
        </w:rPr>
      </w:pPr>
      <w:r>
        <w:rPr>
          <w:rFonts w:ascii="Times New Roman" w:hAnsi="Times New Roman"/>
          <w:szCs w:val="21"/>
        </w:rPr>
        <w:t>签约时间：   年   月   日                        签约时间：  年   月   日</w:t>
      </w:r>
    </w:p>
    <w:sectPr>
      <w:headerReference r:id="rId3" w:type="default"/>
      <w:footerReference r:id="rId4" w:type="default"/>
      <w:footerReference r:id="rId5" w:type="even"/>
      <w:pgSz w:w="11906" w:h="16838"/>
      <w:pgMar w:top="1440" w:right="1800" w:bottom="709"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p>
  <w:p>
    <w:pPr>
      <w:pStyle w:val="4"/>
      <w:jc w:val="center"/>
      <w:rPr>
        <w:rFonts w:hint="eastAsia"/>
      </w:rPr>
    </w:pPr>
    <w:r>
      <w:rPr>
        <w:rFonts w:ascii="Times New Roman" w:hAnsi="Times New Roman" w:eastAsia="楷体_GB2312"/>
        <w:color w:val="333333"/>
      </w:rPr>
      <w:t xml:space="preserve">第 </w:t>
    </w:r>
    <w:r>
      <w:rPr>
        <w:rFonts w:ascii="Times New Roman" w:hAnsi="Times New Roman"/>
      </w:rPr>
      <w:fldChar w:fldCharType="begin"/>
    </w:r>
    <w:r>
      <w:rPr>
        <w:rStyle w:val="10"/>
        <w:rFonts w:ascii="Times New Roman" w:hAnsi="Times New Roman"/>
      </w:rPr>
      <w:instrText xml:space="preserve"> PAGE </w:instrText>
    </w:r>
    <w:r>
      <w:rPr>
        <w:rFonts w:ascii="Times New Roman" w:hAnsi="Times New Roman"/>
      </w:rPr>
      <w:fldChar w:fldCharType="separate"/>
    </w:r>
    <w:r>
      <w:rPr>
        <w:rStyle w:val="10"/>
        <w:rFonts w:ascii="Times New Roman" w:hAnsi="Times New Roman"/>
      </w:rPr>
      <w:t>2</w:t>
    </w:r>
    <w:r>
      <w:rPr>
        <w:rFonts w:ascii="Times New Roman" w:hAnsi="Times New Roman"/>
      </w:rPr>
      <w:fldChar w:fldCharType="end"/>
    </w:r>
    <w:r>
      <w:rPr>
        <w:rFonts w:ascii="Times New Roman" w:hAnsi="Times New Roman" w:eastAsia="楷体_GB2312"/>
        <w:color w:val="333333"/>
      </w:rPr>
      <w:t xml:space="preserve"> 页  共 </w:t>
    </w:r>
    <w:r>
      <w:rPr>
        <w:rFonts w:ascii="Times New Roman" w:hAnsi="Times New Roman"/>
      </w:rPr>
      <w:fldChar w:fldCharType="begin"/>
    </w:r>
    <w:r>
      <w:rPr>
        <w:rStyle w:val="10"/>
        <w:rFonts w:ascii="Times New Roman" w:hAnsi="Times New Roman"/>
      </w:rPr>
      <w:instrText xml:space="preserve"> NUMPAGES </w:instrText>
    </w:r>
    <w:r>
      <w:rPr>
        <w:rFonts w:ascii="Times New Roman" w:hAnsi="Times New Roman"/>
      </w:rPr>
      <w:fldChar w:fldCharType="separate"/>
    </w:r>
    <w:r>
      <w:rPr>
        <w:rStyle w:val="10"/>
        <w:rFonts w:ascii="Times New Roman" w:hAnsi="Times New Roman"/>
      </w:rPr>
      <w:t>4</w:t>
    </w:r>
    <w:r>
      <w:rPr>
        <w:rFonts w:ascii="Times New Roman" w:hAnsi="Times New Roman"/>
      </w:rPr>
      <w:fldChar w:fldCharType="end"/>
    </w:r>
    <w:r>
      <w:rPr>
        <w:rStyle w:val="10"/>
        <w:rFonts w:ascii="Times New Roman" w:hAnsi="Times New Roman"/>
      </w:rPr>
      <w:t xml:space="preserve"> </w:t>
    </w:r>
    <w:r>
      <w:rPr>
        <w:rFonts w:ascii="Times New Roman" w:hAnsi="Times New Roman" w:eastAsia="楷体_GB2312"/>
        <w:color w:val="333333"/>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fldChar w:fldCharType="begin"/>
    </w:r>
    <w:r>
      <w:rPr>
        <w:rStyle w:val="10"/>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ZDQwNzVhYWUzODA0M2M0NWYzNDUwMTdhMjY3ZTcifQ=="/>
  </w:docVars>
  <w:rsids>
    <w:rsidRoot w:val="00613075"/>
    <w:rsid w:val="00006C76"/>
    <w:rsid w:val="00012EA7"/>
    <w:rsid w:val="00013F76"/>
    <w:rsid w:val="00030251"/>
    <w:rsid w:val="00040977"/>
    <w:rsid w:val="0004541C"/>
    <w:rsid w:val="00056580"/>
    <w:rsid w:val="000601BA"/>
    <w:rsid w:val="00060C35"/>
    <w:rsid w:val="000638CD"/>
    <w:rsid w:val="00067EC9"/>
    <w:rsid w:val="00071518"/>
    <w:rsid w:val="0007316D"/>
    <w:rsid w:val="00075F63"/>
    <w:rsid w:val="00087A76"/>
    <w:rsid w:val="0009768A"/>
    <w:rsid w:val="000B18FA"/>
    <w:rsid w:val="000C1490"/>
    <w:rsid w:val="000C4157"/>
    <w:rsid w:val="000C6707"/>
    <w:rsid w:val="000D70BE"/>
    <w:rsid w:val="000D7884"/>
    <w:rsid w:val="000E3267"/>
    <w:rsid w:val="000F15CA"/>
    <w:rsid w:val="001039CC"/>
    <w:rsid w:val="0011594E"/>
    <w:rsid w:val="0011764E"/>
    <w:rsid w:val="0012094C"/>
    <w:rsid w:val="001306CC"/>
    <w:rsid w:val="00130B51"/>
    <w:rsid w:val="001377F4"/>
    <w:rsid w:val="0014065C"/>
    <w:rsid w:val="00154BE4"/>
    <w:rsid w:val="001550A0"/>
    <w:rsid w:val="001554C5"/>
    <w:rsid w:val="00161F1C"/>
    <w:rsid w:val="00162395"/>
    <w:rsid w:val="0016246A"/>
    <w:rsid w:val="00163FFB"/>
    <w:rsid w:val="0016407F"/>
    <w:rsid w:val="001651D9"/>
    <w:rsid w:val="0017356B"/>
    <w:rsid w:val="0017712F"/>
    <w:rsid w:val="00177B64"/>
    <w:rsid w:val="0018240B"/>
    <w:rsid w:val="001B2ABA"/>
    <w:rsid w:val="001C1FB3"/>
    <w:rsid w:val="001C24BF"/>
    <w:rsid w:val="001C4994"/>
    <w:rsid w:val="001C612A"/>
    <w:rsid w:val="001D6F04"/>
    <w:rsid w:val="001F21CD"/>
    <w:rsid w:val="001F4347"/>
    <w:rsid w:val="001F61D2"/>
    <w:rsid w:val="001F71E9"/>
    <w:rsid w:val="002011D5"/>
    <w:rsid w:val="00204B6B"/>
    <w:rsid w:val="00205410"/>
    <w:rsid w:val="00211F12"/>
    <w:rsid w:val="00212CC0"/>
    <w:rsid w:val="00216E84"/>
    <w:rsid w:val="002201EF"/>
    <w:rsid w:val="00225D25"/>
    <w:rsid w:val="002325DE"/>
    <w:rsid w:val="00232CB1"/>
    <w:rsid w:val="00233DAF"/>
    <w:rsid w:val="0024425C"/>
    <w:rsid w:val="002476FC"/>
    <w:rsid w:val="00251088"/>
    <w:rsid w:val="0025229D"/>
    <w:rsid w:val="00254251"/>
    <w:rsid w:val="002562A4"/>
    <w:rsid w:val="00262A9F"/>
    <w:rsid w:val="00270DA8"/>
    <w:rsid w:val="00281F89"/>
    <w:rsid w:val="002972DA"/>
    <w:rsid w:val="002A2AFE"/>
    <w:rsid w:val="002A391E"/>
    <w:rsid w:val="002A7948"/>
    <w:rsid w:val="002C3D75"/>
    <w:rsid w:val="002C7CC0"/>
    <w:rsid w:val="002D3318"/>
    <w:rsid w:val="002D6D10"/>
    <w:rsid w:val="002E0481"/>
    <w:rsid w:val="002E09C9"/>
    <w:rsid w:val="002E1E58"/>
    <w:rsid w:val="002F647C"/>
    <w:rsid w:val="00300E7B"/>
    <w:rsid w:val="00303FBE"/>
    <w:rsid w:val="003168CF"/>
    <w:rsid w:val="00321478"/>
    <w:rsid w:val="00323D61"/>
    <w:rsid w:val="00330379"/>
    <w:rsid w:val="00332B2E"/>
    <w:rsid w:val="00336A5C"/>
    <w:rsid w:val="003417D9"/>
    <w:rsid w:val="00344452"/>
    <w:rsid w:val="00346B8D"/>
    <w:rsid w:val="00350006"/>
    <w:rsid w:val="003514DE"/>
    <w:rsid w:val="00353580"/>
    <w:rsid w:val="00366D1B"/>
    <w:rsid w:val="003709F9"/>
    <w:rsid w:val="003759B5"/>
    <w:rsid w:val="00381B10"/>
    <w:rsid w:val="003A1786"/>
    <w:rsid w:val="003B0B2E"/>
    <w:rsid w:val="003B3DEB"/>
    <w:rsid w:val="003B678C"/>
    <w:rsid w:val="003B7686"/>
    <w:rsid w:val="003C0564"/>
    <w:rsid w:val="003C0911"/>
    <w:rsid w:val="003C20B5"/>
    <w:rsid w:val="003C4202"/>
    <w:rsid w:val="003C7E26"/>
    <w:rsid w:val="003D5C42"/>
    <w:rsid w:val="003E4C00"/>
    <w:rsid w:val="003F0F3D"/>
    <w:rsid w:val="003F2A36"/>
    <w:rsid w:val="003F2C98"/>
    <w:rsid w:val="003F44D1"/>
    <w:rsid w:val="00404EB3"/>
    <w:rsid w:val="00416993"/>
    <w:rsid w:val="00416DD2"/>
    <w:rsid w:val="00426928"/>
    <w:rsid w:val="00432571"/>
    <w:rsid w:val="00433963"/>
    <w:rsid w:val="00441648"/>
    <w:rsid w:val="004503CF"/>
    <w:rsid w:val="004516C6"/>
    <w:rsid w:val="00462709"/>
    <w:rsid w:val="00475C35"/>
    <w:rsid w:val="004900BA"/>
    <w:rsid w:val="004903D1"/>
    <w:rsid w:val="004955CC"/>
    <w:rsid w:val="004A1DD2"/>
    <w:rsid w:val="004A5D33"/>
    <w:rsid w:val="004A5E96"/>
    <w:rsid w:val="004B3730"/>
    <w:rsid w:val="004B5032"/>
    <w:rsid w:val="004E1C5F"/>
    <w:rsid w:val="004E42A4"/>
    <w:rsid w:val="004E7F08"/>
    <w:rsid w:val="004F2C41"/>
    <w:rsid w:val="004F67DA"/>
    <w:rsid w:val="00501D5B"/>
    <w:rsid w:val="00502510"/>
    <w:rsid w:val="00505D76"/>
    <w:rsid w:val="00506949"/>
    <w:rsid w:val="00521EA9"/>
    <w:rsid w:val="00527FA5"/>
    <w:rsid w:val="005303F9"/>
    <w:rsid w:val="00531C41"/>
    <w:rsid w:val="005354B6"/>
    <w:rsid w:val="00543B66"/>
    <w:rsid w:val="00544F06"/>
    <w:rsid w:val="00551284"/>
    <w:rsid w:val="00553108"/>
    <w:rsid w:val="00561BEE"/>
    <w:rsid w:val="00563B6B"/>
    <w:rsid w:val="00566136"/>
    <w:rsid w:val="00570649"/>
    <w:rsid w:val="00572B44"/>
    <w:rsid w:val="0057399A"/>
    <w:rsid w:val="0057565B"/>
    <w:rsid w:val="0057593B"/>
    <w:rsid w:val="00582E85"/>
    <w:rsid w:val="00590B9B"/>
    <w:rsid w:val="00591AFF"/>
    <w:rsid w:val="00592A90"/>
    <w:rsid w:val="005A6C09"/>
    <w:rsid w:val="005A7FBC"/>
    <w:rsid w:val="005B2897"/>
    <w:rsid w:val="005C3C0D"/>
    <w:rsid w:val="005D0243"/>
    <w:rsid w:val="005D0A47"/>
    <w:rsid w:val="005D1B16"/>
    <w:rsid w:val="005E75BC"/>
    <w:rsid w:val="00601540"/>
    <w:rsid w:val="00607B8F"/>
    <w:rsid w:val="00610CC6"/>
    <w:rsid w:val="00611AB1"/>
    <w:rsid w:val="00613075"/>
    <w:rsid w:val="0064719D"/>
    <w:rsid w:val="0065270B"/>
    <w:rsid w:val="0065635D"/>
    <w:rsid w:val="00682135"/>
    <w:rsid w:val="0068561C"/>
    <w:rsid w:val="0069024C"/>
    <w:rsid w:val="006A6017"/>
    <w:rsid w:val="006D2B71"/>
    <w:rsid w:val="006E0305"/>
    <w:rsid w:val="006E44FA"/>
    <w:rsid w:val="006F1183"/>
    <w:rsid w:val="006F168D"/>
    <w:rsid w:val="006F2272"/>
    <w:rsid w:val="006F30FD"/>
    <w:rsid w:val="006F593D"/>
    <w:rsid w:val="006F6199"/>
    <w:rsid w:val="0070073B"/>
    <w:rsid w:val="00702F44"/>
    <w:rsid w:val="00704850"/>
    <w:rsid w:val="00705E58"/>
    <w:rsid w:val="007061A0"/>
    <w:rsid w:val="007073E2"/>
    <w:rsid w:val="00715C55"/>
    <w:rsid w:val="00717587"/>
    <w:rsid w:val="007316F8"/>
    <w:rsid w:val="00737151"/>
    <w:rsid w:val="00737B8B"/>
    <w:rsid w:val="00740532"/>
    <w:rsid w:val="007415DF"/>
    <w:rsid w:val="0074381A"/>
    <w:rsid w:val="00754A27"/>
    <w:rsid w:val="0076148F"/>
    <w:rsid w:val="007620AF"/>
    <w:rsid w:val="0077470D"/>
    <w:rsid w:val="00790F85"/>
    <w:rsid w:val="007B1DF5"/>
    <w:rsid w:val="007B26C0"/>
    <w:rsid w:val="007B794C"/>
    <w:rsid w:val="007E1858"/>
    <w:rsid w:val="007E221B"/>
    <w:rsid w:val="00800A74"/>
    <w:rsid w:val="0080364A"/>
    <w:rsid w:val="008059E9"/>
    <w:rsid w:val="0082262A"/>
    <w:rsid w:val="00823CBA"/>
    <w:rsid w:val="00824D27"/>
    <w:rsid w:val="008264DD"/>
    <w:rsid w:val="00827AF6"/>
    <w:rsid w:val="00832E9F"/>
    <w:rsid w:val="008341AF"/>
    <w:rsid w:val="0083507A"/>
    <w:rsid w:val="00835215"/>
    <w:rsid w:val="00835E18"/>
    <w:rsid w:val="00840F7B"/>
    <w:rsid w:val="00857BF6"/>
    <w:rsid w:val="008623E6"/>
    <w:rsid w:val="0086599B"/>
    <w:rsid w:val="00871928"/>
    <w:rsid w:val="00873753"/>
    <w:rsid w:val="00882D0E"/>
    <w:rsid w:val="00886BE5"/>
    <w:rsid w:val="008963F3"/>
    <w:rsid w:val="00896D0D"/>
    <w:rsid w:val="00897F63"/>
    <w:rsid w:val="008A4B83"/>
    <w:rsid w:val="008A6C0D"/>
    <w:rsid w:val="008B1B40"/>
    <w:rsid w:val="008B46FC"/>
    <w:rsid w:val="008B5F62"/>
    <w:rsid w:val="008C5D3E"/>
    <w:rsid w:val="008D3D94"/>
    <w:rsid w:val="008D5241"/>
    <w:rsid w:val="008D7F1D"/>
    <w:rsid w:val="008E02AE"/>
    <w:rsid w:val="008E3529"/>
    <w:rsid w:val="008E5540"/>
    <w:rsid w:val="008E7C33"/>
    <w:rsid w:val="008F01AE"/>
    <w:rsid w:val="008F3777"/>
    <w:rsid w:val="008F77B9"/>
    <w:rsid w:val="00900208"/>
    <w:rsid w:val="009034E5"/>
    <w:rsid w:val="00905BE1"/>
    <w:rsid w:val="00920130"/>
    <w:rsid w:val="0092228C"/>
    <w:rsid w:val="00923B8E"/>
    <w:rsid w:val="00930BE0"/>
    <w:rsid w:val="009317BA"/>
    <w:rsid w:val="0093299E"/>
    <w:rsid w:val="00935429"/>
    <w:rsid w:val="00944BA4"/>
    <w:rsid w:val="009526D7"/>
    <w:rsid w:val="00956F7C"/>
    <w:rsid w:val="00967C81"/>
    <w:rsid w:val="0097175A"/>
    <w:rsid w:val="009728BE"/>
    <w:rsid w:val="009742EE"/>
    <w:rsid w:val="009771F7"/>
    <w:rsid w:val="00981AEC"/>
    <w:rsid w:val="009842CF"/>
    <w:rsid w:val="00985027"/>
    <w:rsid w:val="009862EC"/>
    <w:rsid w:val="00990FDD"/>
    <w:rsid w:val="00993BFC"/>
    <w:rsid w:val="009964B3"/>
    <w:rsid w:val="00997000"/>
    <w:rsid w:val="009A2B86"/>
    <w:rsid w:val="009A67CD"/>
    <w:rsid w:val="009B01B2"/>
    <w:rsid w:val="009B30C1"/>
    <w:rsid w:val="009C1931"/>
    <w:rsid w:val="009C5C9C"/>
    <w:rsid w:val="009D4B12"/>
    <w:rsid w:val="009F6918"/>
    <w:rsid w:val="00A01BFB"/>
    <w:rsid w:val="00A04354"/>
    <w:rsid w:val="00A07E70"/>
    <w:rsid w:val="00A139EB"/>
    <w:rsid w:val="00A169AB"/>
    <w:rsid w:val="00A22887"/>
    <w:rsid w:val="00A25999"/>
    <w:rsid w:val="00A277A4"/>
    <w:rsid w:val="00A32397"/>
    <w:rsid w:val="00A37B5E"/>
    <w:rsid w:val="00A37F84"/>
    <w:rsid w:val="00A55421"/>
    <w:rsid w:val="00A741DF"/>
    <w:rsid w:val="00A75D25"/>
    <w:rsid w:val="00A77EF6"/>
    <w:rsid w:val="00A81229"/>
    <w:rsid w:val="00A83E9E"/>
    <w:rsid w:val="00A83F25"/>
    <w:rsid w:val="00A87A14"/>
    <w:rsid w:val="00A90654"/>
    <w:rsid w:val="00AA1294"/>
    <w:rsid w:val="00AA1AF2"/>
    <w:rsid w:val="00AB04A3"/>
    <w:rsid w:val="00AB05D6"/>
    <w:rsid w:val="00AB6194"/>
    <w:rsid w:val="00AC4455"/>
    <w:rsid w:val="00AC6E9C"/>
    <w:rsid w:val="00AD2D14"/>
    <w:rsid w:val="00AD324B"/>
    <w:rsid w:val="00AE4962"/>
    <w:rsid w:val="00AE4A16"/>
    <w:rsid w:val="00AF4D02"/>
    <w:rsid w:val="00AF6F2F"/>
    <w:rsid w:val="00B05BC7"/>
    <w:rsid w:val="00B0609D"/>
    <w:rsid w:val="00B07926"/>
    <w:rsid w:val="00B15616"/>
    <w:rsid w:val="00B22ABC"/>
    <w:rsid w:val="00B23596"/>
    <w:rsid w:val="00B31A27"/>
    <w:rsid w:val="00B40FE4"/>
    <w:rsid w:val="00B6175A"/>
    <w:rsid w:val="00B62095"/>
    <w:rsid w:val="00B62ADC"/>
    <w:rsid w:val="00B64770"/>
    <w:rsid w:val="00B75915"/>
    <w:rsid w:val="00B76085"/>
    <w:rsid w:val="00B8171A"/>
    <w:rsid w:val="00B82BA0"/>
    <w:rsid w:val="00B855AC"/>
    <w:rsid w:val="00B93A8A"/>
    <w:rsid w:val="00B94C07"/>
    <w:rsid w:val="00BA2472"/>
    <w:rsid w:val="00BB4506"/>
    <w:rsid w:val="00BB6E35"/>
    <w:rsid w:val="00BD169B"/>
    <w:rsid w:val="00BD6DDC"/>
    <w:rsid w:val="00BD70A1"/>
    <w:rsid w:val="00BE2D27"/>
    <w:rsid w:val="00BE2DF8"/>
    <w:rsid w:val="00BF121D"/>
    <w:rsid w:val="00C002E7"/>
    <w:rsid w:val="00C04FC3"/>
    <w:rsid w:val="00C10C06"/>
    <w:rsid w:val="00C11C8E"/>
    <w:rsid w:val="00C25018"/>
    <w:rsid w:val="00C37E91"/>
    <w:rsid w:val="00C42F90"/>
    <w:rsid w:val="00C44BBC"/>
    <w:rsid w:val="00C519C7"/>
    <w:rsid w:val="00C70634"/>
    <w:rsid w:val="00C713BB"/>
    <w:rsid w:val="00C72A9B"/>
    <w:rsid w:val="00C74CD1"/>
    <w:rsid w:val="00C80CBC"/>
    <w:rsid w:val="00CA09B1"/>
    <w:rsid w:val="00CA12CD"/>
    <w:rsid w:val="00CA5114"/>
    <w:rsid w:val="00CA5C21"/>
    <w:rsid w:val="00CC169B"/>
    <w:rsid w:val="00CC2719"/>
    <w:rsid w:val="00CC670E"/>
    <w:rsid w:val="00CD03A1"/>
    <w:rsid w:val="00CE0191"/>
    <w:rsid w:val="00CE07BC"/>
    <w:rsid w:val="00CE24EA"/>
    <w:rsid w:val="00CE30D2"/>
    <w:rsid w:val="00CF7603"/>
    <w:rsid w:val="00D0026C"/>
    <w:rsid w:val="00D032C7"/>
    <w:rsid w:val="00D03D28"/>
    <w:rsid w:val="00D044BD"/>
    <w:rsid w:val="00D33D79"/>
    <w:rsid w:val="00D363EC"/>
    <w:rsid w:val="00D37961"/>
    <w:rsid w:val="00D435A4"/>
    <w:rsid w:val="00D44CB4"/>
    <w:rsid w:val="00D4774A"/>
    <w:rsid w:val="00D55299"/>
    <w:rsid w:val="00D748A3"/>
    <w:rsid w:val="00D83059"/>
    <w:rsid w:val="00D84C5E"/>
    <w:rsid w:val="00D86932"/>
    <w:rsid w:val="00D951B1"/>
    <w:rsid w:val="00D96CA2"/>
    <w:rsid w:val="00DA04BE"/>
    <w:rsid w:val="00DA282E"/>
    <w:rsid w:val="00DA4702"/>
    <w:rsid w:val="00DA5BD0"/>
    <w:rsid w:val="00DB0CBA"/>
    <w:rsid w:val="00DC17C5"/>
    <w:rsid w:val="00DD038F"/>
    <w:rsid w:val="00DD126D"/>
    <w:rsid w:val="00DE1B68"/>
    <w:rsid w:val="00DE447E"/>
    <w:rsid w:val="00DE4F17"/>
    <w:rsid w:val="00DE7713"/>
    <w:rsid w:val="00E01C6D"/>
    <w:rsid w:val="00E024E1"/>
    <w:rsid w:val="00E04014"/>
    <w:rsid w:val="00E04862"/>
    <w:rsid w:val="00E04E4C"/>
    <w:rsid w:val="00E13710"/>
    <w:rsid w:val="00E341B9"/>
    <w:rsid w:val="00E40401"/>
    <w:rsid w:val="00E477B3"/>
    <w:rsid w:val="00E554B1"/>
    <w:rsid w:val="00E60525"/>
    <w:rsid w:val="00E62E0B"/>
    <w:rsid w:val="00E714B8"/>
    <w:rsid w:val="00E74157"/>
    <w:rsid w:val="00E776B8"/>
    <w:rsid w:val="00E77CA3"/>
    <w:rsid w:val="00E840A1"/>
    <w:rsid w:val="00E91385"/>
    <w:rsid w:val="00EA7460"/>
    <w:rsid w:val="00EA7605"/>
    <w:rsid w:val="00EB30E7"/>
    <w:rsid w:val="00EC524D"/>
    <w:rsid w:val="00ED35ED"/>
    <w:rsid w:val="00EF5E61"/>
    <w:rsid w:val="00EF5F72"/>
    <w:rsid w:val="00EF6F5A"/>
    <w:rsid w:val="00F03270"/>
    <w:rsid w:val="00F13D1F"/>
    <w:rsid w:val="00F21235"/>
    <w:rsid w:val="00F21DAC"/>
    <w:rsid w:val="00F24601"/>
    <w:rsid w:val="00F30850"/>
    <w:rsid w:val="00F30A60"/>
    <w:rsid w:val="00F31637"/>
    <w:rsid w:val="00F36E42"/>
    <w:rsid w:val="00F4294F"/>
    <w:rsid w:val="00F44B33"/>
    <w:rsid w:val="00F44F20"/>
    <w:rsid w:val="00F50A52"/>
    <w:rsid w:val="00F57D1A"/>
    <w:rsid w:val="00F6464E"/>
    <w:rsid w:val="00F7532C"/>
    <w:rsid w:val="00F927C7"/>
    <w:rsid w:val="00F92E07"/>
    <w:rsid w:val="00F970C1"/>
    <w:rsid w:val="00FA74F9"/>
    <w:rsid w:val="00FB17DC"/>
    <w:rsid w:val="00FB3CF6"/>
    <w:rsid w:val="00FC0B23"/>
    <w:rsid w:val="00FD171A"/>
    <w:rsid w:val="00FD1B23"/>
    <w:rsid w:val="00FD6740"/>
    <w:rsid w:val="010408F6"/>
    <w:rsid w:val="01066676"/>
    <w:rsid w:val="013013A5"/>
    <w:rsid w:val="013F3CBA"/>
    <w:rsid w:val="018C4316"/>
    <w:rsid w:val="019D4BDD"/>
    <w:rsid w:val="01A87AFF"/>
    <w:rsid w:val="01E96C2E"/>
    <w:rsid w:val="0204566B"/>
    <w:rsid w:val="02126D18"/>
    <w:rsid w:val="02216217"/>
    <w:rsid w:val="023612EF"/>
    <w:rsid w:val="025965D9"/>
    <w:rsid w:val="027F26E2"/>
    <w:rsid w:val="02826E0B"/>
    <w:rsid w:val="02A42BE4"/>
    <w:rsid w:val="02BB6539"/>
    <w:rsid w:val="02C36240"/>
    <w:rsid w:val="033E157C"/>
    <w:rsid w:val="037D175F"/>
    <w:rsid w:val="03960C14"/>
    <w:rsid w:val="03A5756D"/>
    <w:rsid w:val="03BE420D"/>
    <w:rsid w:val="05017170"/>
    <w:rsid w:val="0530521E"/>
    <w:rsid w:val="05346807"/>
    <w:rsid w:val="059F328F"/>
    <w:rsid w:val="05A479D1"/>
    <w:rsid w:val="05CA273A"/>
    <w:rsid w:val="06021ED4"/>
    <w:rsid w:val="06202B83"/>
    <w:rsid w:val="06626468"/>
    <w:rsid w:val="06977A52"/>
    <w:rsid w:val="06A15F9A"/>
    <w:rsid w:val="06AC3BBA"/>
    <w:rsid w:val="06AF1D5A"/>
    <w:rsid w:val="06BD299E"/>
    <w:rsid w:val="06BD6291"/>
    <w:rsid w:val="06EE19FC"/>
    <w:rsid w:val="06F279F3"/>
    <w:rsid w:val="06F52F81"/>
    <w:rsid w:val="07033385"/>
    <w:rsid w:val="071D383A"/>
    <w:rsid w:val="074501F5"/>
    <w:rsid w:val="074B589B"/>
    <w:rsid w:val="07855EC7"/>
    <w:rsid w:val="078A20ED"/>
    <w:rsid w:val="07A82607"/>
    <w:rsid w:val="08380F8C"/>
    <w:rsid w:val="08492363"/>
    <w:rsid w:val="085F360E"/>
    <w:rsid w:val="087D5842"/>
    <w:rsid w:val="089222EC"/>
    <w:rsid w:val="08A3206C"/>
    <w:rsid w:val="08A90D2D"/>
    <w:rsid w:val="08AA23AF"/>
    <w:rsid w:val="08B50282"/>
    <w:rsid w:val="09064E5D"/>
    <w:rsid w:val="090B40F9"/>
    <w:rsid w:val="0911242E"/>
    <w:rsid w:val="09975064"/>
    <w:rsid w:val="09B20303"/>
    <w:rsid w:val="09C925AD"/>
    <w:rsid w:val="0A00281A"/>
    <w:rsid w:val="0A1A16B9"/>
    <w:rsid w:val="0A285C81"/>
    <w:rsid w:val="0A4A5F70"/>
    <w:rsid w:val="0A5D0BAC"/>
    <w:rsid w:val="0A60095D"/>
    <w:rsid w:val="0ADA5433"/>
    <w:rsid w:val="0ADD7937"/>
    <w:rsid w:val="0B24314B"/>
    <w:rsid w:val="0B41524D"/>
    <w:rsid w:val="0B505490"/>
    <w:rsid w:val="0B50723E"/>
    <w:rsid w:val="0B64292B"/>
    <w:rsid w:val="0B7F034B"/>
    <w:rsid w:val="0B8B471A"/>
    <w:rsid w:val="0BA03E78"/>
    <w:rsid w:val="0BA457DB"/>
    <w:rsid w:val="0BCD082B"/>
    <w:rsid w:val="0BD54287"/>
    <w:rsid w:val="0BDF5698"/>
    <w:rsid w:val="0BEA1635"/>
    <w:rsid w:val="0C7C105F"/>
    <w:rsid w:val="0C874029"/>
    <w:rsid w:val="0CD0255A"/>
    <w:rsid w:val="0CF52535"/>
    <w:rsid w:val="0D4508F8"/>
    <w:rsid w:val="0D602922"/>
    <w:rsid w:val="0D6920E5"/>
    <w:rsid w:val="0D7718CD"/>
    <w:rsid w:val="0D7835F0"/>
    <w:rsid w:val="0D9227D5"/>
    <w:rsid w:val="0DA74FCD"/>
    <w:rsid w:val="0DC71B35"/>
    <w:rsid w:val="0E032D72"/>
    <w:rsid w:val="0E083E00"/>
    <w:rsid w:val="0E110105"/>
    <w:rsid w:val="0E35455A"/>
    <w:rsid w:val="0E660FFD"/>
    <w:rsid w:val="0E8C4A31"/>
    <w:rsid w:val="0EB74E9A"/>
    <w:rsid w:val="0EC94DAD"/>
    <w:rsid w:val="0ED16387"/>
    <w:rsid w:val="0EEB3F81"/>
    <w:rsid w:val="0EF419A8"/>
    <w:rsid w:val="0EFA20B7"/>
    <w:rsid w:val="0EFC51C5"/>
    <w:rsid w:val="0F135802"/>
    <w:rsid w:val="0F4C7850"/>
    <w:rsid w:val="0FA5776A"/>
    <w:rsid w:val="0FFB2BC0"/>
    <w:rsid w:val="10121681"/>
    <w:rsid w:val="10324220"/>
    <w:rsid w:val="103F10DC"/>
    <w:rsid w:val="10522556"/>
    <w:rsid w:val="105C46D9"/>
    <w:rsid w:val="1084222A"/>
    <w:rsid w:val="11011C7B"/>
    <w:rsid w:val="11141F8E"/>
    <w:rsid w:val="1122342A"/>
    <w:rsid w:val="11485DC9"/>
    <w:rsid w:val="11542DC8"/>
    <w:rsid w:val="11682464"/>
    <w:rsid w:val="11823EAA"/>
    <w:rsid w:val="11AE4CBE"/>
    <w:rsid w:val="11B85B3D"/>
    <w:rsid w:val="11BD170A"/>
    <w:rsid w:val="11D21F61"/>
    <w:rsid w:val="12394ECF"/>
    <w:rsid w:val="124F1F07"/>
    <w:rsid w:val="1250100A"/>
    <w:rsid w:val="12891287"/>
    <w:rsid w:val="129E7D9A"/>
    <w:rsid w:val="12CF6EA8"/>
    <w:rsid w:val="12F62C2B"/>
    <w:rsid w:val="130A686C"/>
    <w:rsid w:val="13137EEA"/>
    <w:rsid w:val="13161391"/>
    <w:rsid w:val="13520633"/>
    <w:rsid w:val="135F4624"/>
    <w:rsid w:val="139945EA"/>
    <w:rsid w:val="13AE66BB"/>
    <w:rsid w:val="13D44784"/>
    <w:rsid w:val="13E75ED3"/>
    <w:rsid w:val="13FC13F1"/>
    <w:rsid w:val="1414391B"/>
    <w:rsid w:val="14394544"/>
    <w:rsid w:val="143C619B"/>
    <w:rsid w:val="14575AE1"/>
    <w:rsid w:val="149A2E5A"/>
    <w:rsid w:val="14A039EA"/>
    <w:rsid w:val="14C551AE"/>
    <w:rsid w:val="152E3529"/>
    <w:rsid w:val="15346204"/>
    <w:rsid w:val="154D06FF"/>
    <w:rsid w:val="155D6659"/>
    <w:rsid w:val="15724254"/>
    <w:rsid w:val="15CC1BB7"/>
    <w:rsid w:val="15CD5756"/>
    <w:rsid w:val="15EF2F5D"/>
    <w:rsid w:val="161947F6"/>
    <w:rsid w:val="161A5018"/>
    <w:rsid w:val="164B2756"/>
    <w:rsid w:val="1654404A"/>
    <w:rsid w:val="16900FA7"/>
    <w:rsid w:val="16BD5411"/>
    <w:rsid w:val="16F46197"/>
    <w:rsid w:val="16F63AF9"/>
    <w:rsid w:val="16FE0845"/>
    <w:rsid w:val="1723614E"/>
    <w:rsid w:val="17256FB1"/>
    <w:rsid w:val="17266F09"/>
    <w:rsid w:val="17397720"/>
    <w:rsid w:val="175F21C9"/>
    <w:rsid w:val="179C380B"/>
    <w:rsid w:val="17AE4142"/>
    <w:rsid w:val="17F34B5C"/>
    <w:rsid w:val="181E7872"/>
    <w:rsid w:val="18532A8C"/>
    <w:rsid w:val="189A58E9"/>
    <w:rsid w:val="189C6321"/>
    <w:rsid w:val="18E55E64"/>
    <w:rsid w:val="19437B09"/>
    <w:rsid w:val="1969283A"/>
    <w:rsid w:val="19A4161E"/>
    <w:rsid w:val="19AE621E"/>
    <w:rsid w:val="19C47954"/>
    <w:rsid w:val="19D20DC4"/>
    <w:rsid w:val="19F33BB6"/>
    <w:rsid w:val="1A2F67CB"/>
    <w:rsid w:val="1A60199B"/>
    <w:rsid w:val="1AB80E35"/>
    <w:rsid w:val="1B163A7E"/>
    <w:rsid w:val="1B4548E5"/>
    <w:rsid w:val="1B950C9D"/>
    <w:rsid w:val="1BE51C60"/>
    <w:rsid w:val="1C0E3C03"/>
    <w:rsid w:val="1C2E5379"/>
    <w:rsid w:val="1C8D49F3"/>
    <w:rsid w:val="1CA406B7"/>
    <w:rsid w:val="1CED10F1"/>
    <w:rsid w:val="1D307FA5"/>
    <w:rsid w:val="1DAD07A0"/>
    <w:rsid w:val="1DB8681C"/>
    <w:rsid w:val="1DB90122"/>
    <w:rsid w:val="1DD01BAD"/>
    <w:rsid w:val="1E103F77"/>
    <w:rsid w:val="1E7938D0"/>
    <w:rsid w:val="1E940E22"/>
    <w:rsid w:val="1E997A7A"/>
    <w:rsid w:val="1EB50D13"/>
    <w:rsid w:val="1ED42FB5"/>
    <w:rsid w:val="1ED85A70"/>
    <w:rsid w:val="1F0E21D3"/>
    <w:rsid w:val="1F2951AD"/>
    <w:rsid w:val="1F4A046A"/>
    <w:rsid w:val="1F8A1047"/>
    <w:rsid w:val="1F9201B8"/>
    <w:rsid w:val="1FF75769"/>
    <w:rsid w:val="200A23BE"/>
    <w:rsid w:val="2042642B"/>
    <w:rsid w:val="20445AA3"/>
    <w:rsid w:val="20446BFF"/>
    <w:rsid w:val="20496F6F"/>
    <w:rsid w:val="20600FB2"/>
    <w:rsid w:val="208C6FF3"/>
    <w:rsid w:val="20C36671"/>
    <w:rsid w:val="20E10DCC"/>
    <w:rsid w:val="20F32BED"/>
    <w:rsid w:val="21123491"/>
    <w:rsid w:val="211A0CF7"/>
    <w:rsid w:val="21585442"/>
    <w:rsid w:val="218E5B49"/>
    <w:rsid w:val="219014B3"/>
    <w:rsid w:val="2196216C"/>
    <w:rsid w:val="21D44EF8"/>
    <w:rsid w:val="22063E6E"/>
    <w:rsid w:val="22126DDA"/>
    <w:rsid w:val="221E3ADB"/>
    <w:rsid w:val="228753C4"/>
    <w:rsid w:val="22BF0ABC"/>
    <w:rsid w:val="22F95F4E"/>
    <w:rsid w:val="2329540A"/>
    <w:rsid w:val="2336446C"/>
    <w:rsid w:val="23985C92"/>
    <w:rsid w:val="23BC0F45"/>
    <w:rsid w:val="23D16265"/>
    <w:rsid w:val="2425685A"/>
    <w:rsid w:val="244F3FB4"/>
    <w:rsid w:val="24816262"/>
    <w:rsid w:val="24921DFF"/>
    <w:rsid w:val="25147993"/>
    <w:rsid w:val="252E0198"/>
    <w:rsid w:val="2530049A"/>
    <w:rsid w:val="253D5128"/>
    <w:rsid w:val="256E7B3E"/>
    <w:rsid w:val="25B63EDA"/>
    <w:rsid w:val="261879B0"/>
    <w:rsid w:val="262677C1"/>
    <w:rsid w:val="262C04D6"/>
    <w:rsid w:val="263D1162"/>
    <w:rsid w:val="26466FAC"/>
    <w:rsid w:val="26553296"/>
    <w:rsid w:val="26681488"/>
    <w:rsid w:val="26747079"/>
    <w:rsid w:val="26EA701B"/>
    <w:rsid w:val="26F335AE"/>
    <w:rsid w:val="27133AE9"/>
    <w:rsid w:val="271B3EE0"/>
    <w:rsid w:val="273B2BEC"/>
    <w:rsid w:val="273F7D71"/>
    <w:rsid w:val="276B5AE1"/>
    <w:rsid w:val="27A24800"/>
    <w:rsid w:val="27CE39BA"/>
    <w:rsid w:val="27D97AC5"/>
    <w:rsid w:val="28697739"/>
    <w:rsid w:val="288602EB"/>
    <w:rsid w:val="288B105E"/>
    <w:rsid w:val="289D5779"/>
    <w:rsid w:val="28B53B10"/>
    <w:rsid w:val="28BA39B9"/>
    <w:rsid w:val="28D76955"/>
    <w:rsid w:val="291E1E74"/>
    <w:rsid w:val="296F0D7F"/>
    <w:rsid w:val="298A7967"/>
    <w:rsid w:val="2990740B"/>
    <w:rsid w:val="299B7DC6"/>
    <w:rsid w:val="29AA100F"/>
    <w:rsid w:val="2A014CB2"/>
    <w:rsid w:val="2A3224D8"/>
    <w:rsid w:val="2A4144C9"/>
    <w:rsid w:val="2A5218FD"/>
    <w:rsid w:val="2A7F7260"/>
    <w:rsid w:val="2A8002F1"/>
    <w:rsid w:val="2AC037B0"/>
    <w:rsid w:val="2AC670C5"/>
    <w:rsid w:val="2AD03A9F"/>
    <w:rsid w:val="2AE337D3"/>
    <w:rsid w:val="2AFA300F"/>
    <w:rsid w:val="2B5B5A5F"/>
    <w:rsid w:val="2BBD2276"/>
    <w:rsid w:val="2BED31E1"/>
    <w:rsid w:val="2BF13CCD"/>
    <w:rsid w:val="2C1E22D8"/>
    <w:rsid w:val="2C3460F1"/>
    <w:rsid w:val="2C3F1AB6"/>
    <w:rsid w:val="2CA3594A"/>
    <w:rsid w:val="2CD930DF"/>
    <w:rsid w:val="2CEE6916"/>
    <w:rsid w:val="2D214436"/>
    <w:rsid w:val="2D392619"/>
    <w:rsid w:val="2D511972"/>
    <w:rsid w:val="2D786BEA"/>
    <w:rsid w:val="2D8D5C78"/>
    <w:rsid w:val="2DC27F9F"/>
    <w:rsid w:val="2E543F86"/>
    <w:rsid w:val="2E5608D5"/>
    <w:rsid w:val="2F6E4B95"/>
    <w:rsid w:val="2F756F0F"/>
    <w:rsid w:val="2F914D18"/>
    <w:rsid w:val="2F9430A8"/>
    <w:rsid w:val="2FB069A9"/>
    <w:rsid w:val="30282228"/>
    <w:rsid w:val="303105B9"/>
    <w:rsid w:val="304109DA"/>
    <w:rsid w:val="304E6ED3"/>
    <w:rsid w:val="30524392"/>
    <w:rsid w:val="30535BCF"/>
    <w:rsid w:val="305F12D8"/>
    <w:rsid w:val="3060689F"/>
    <w:rsid w:val="3084250B"/>
    <w:rsid w:val="309C399B"/>
    <w:rsid w:val="309F1F4A"/>
    <w:rsid w:val="30AB5B62"/>
    <w:rsid w:val="3116698C"/>
    <w:rsid w:val="31624FB6"/>
    <w:rsid w:val="31A96619"/>
    <w:rsid w:val="31D675DA"/>
    <w:rsid w:val="31E340B8"/>
    <w:rsid w:val="31E44462"/>
    <w:rsid w:val="31FD7870"/>
    <w:rsid w:val="3205221E"/>
    <w:rsid w:val="32483069"/>
    <w:rsid w:val="32786007"/>
    <w:rsid w:val="3291620A"/>
    <w:rsid w:val="329F4483"/>
    <w:rsid w:val="32C45892"/>
    <w:rsid w:val="32D3412D"/>
    <w:rsid w:val="32E227E6"/>
    <w:rsid w:val="33576347"/>
    <w:rsid w:val="337D3BF0"/>
    <w:rsid w:val="33A1549F"/>
    <w:rsid w:val="33BC18EF"/>
    <w:rsid w:val="33F6650B"/>
    <w:rsid w:val="348C0668"/>
    <w:rsid w:val="34B31013"/>
    <w:rsid w:val="34F4706D"/>
    <w:rsid w:val="35294940"/>
    <w:rsid w:val="353D61D5"/>
    <w:rsid w:val="35507011"/>
    <w:rsid w:val="356508FA"/>
    <w:rsid w:val="35703969"/>
    <w:rsid w:val="358900B1"/>
    <w:rsid w:val="35BE5FA6"/>
    <w:rsid w:val="36237040"/>
    <w:rsid w:val="3628478F"/>
    <w:rsid w:val="368D7AB7"/>
    <w:rsid w:val="36963DEF"/>
    <w:rsid w:val="36E547A3"/>
    <w:rsid w:val="370F6C13"/>
    <w:rsid w:val="37460B3B"/>
    <w:rsid w:val="377C0897"/>
    <w:rsid w:val="37820AEE"/>
    <w:rsid w:val="3788641D"/>
    <w:rsid w:val="38183E33"/>
    <w:rsid w:val="38684DD8"/>
    <w:rsid w:val="388D2FD0"/>
    <w:rsid w:val="389804E8"/>
    <w:rsid w:val="38A8475D"/>
    <w:rsid w:val="38BA6D2F"/>
    <w:rsid w:val="38F34FAE"/>
    <w:rsid w:val="392C3471"/>
    <w:rsid w:val="3930052B"/>
    <w:rsid w:val="39586677"/>
    <w:rsid w:val="398A714C"/>
    <w:rsid w:val="398D1C3C"/>
    <w:rsid w:val="39A07FE8"/>
    <w:rsid w:val="39AC69BE"/>
    <w:rsid w:val="39FF3A59"/>
    <w:rsid w:val="3A1B3F83"/>
    <w:rsid w:val="3A26020B"/>
    <w:rsid w:val="3A546596"/>
    <w:rsid w:val="3A5B2F63"/>
    <w:rsid w:val="3ADC3D9A"/>
    <w:rsid w:val="3AF871E6"/>
    <w:rsid w:val="3AFF39B6"/>
    <w:rsid w:val="3B4F2940"/>
    <w:rsid w:val="3B677B08"/>
    <w:rsid w:val="3B696769"/>
    <w:rsid w:val="3B8C756F"/>
    <w:rsid w:val="3BA36168"/>
    <w:rsid w:val="3BB82AEB"/>
    <w:rsid w:val="3BBA49EA"/>
    <w:rsid w:val="3BED2ADE"/>
    <w:rsid w:val="3C252E3E"/>
    <w:rsid w:val="3CC258EF"/>
    <w:rsid w:val="3CE26A58"/>
    <w:rsid w:val="3CE82143"/>
    <w:rsid w:val="3CF47398"/>
    <w:rsid w:val="3D01079A"/>
    <w:rsid w:val="3D0C0D83"/>
    <w:rsid w:val="3D393726"/>
    <w:rsid w:val="3D42644D"/>
    <w:rsid w:val="3D607B42"/>
    <w:rsid w:val="3D6C7658"/>
    <w:rsid w:val="3D6E54A0"/>
    <w:rsid w:val="3D74475E"/>
    <w:rsid w:val="3D9714F7"/>
    <w:rsid w:val="3DBD6105"/>
    <w:rsid w:val="3DFB1F13"/>
    <w:rsid w:val="3E12649C"/>
    <w:rsid w:val="3E3C5C56"/>
    <w:rsid w:val="3E5B28EE"/>
    <w:rsid w:val="3E8A3801"/>
    <w:rsid w:val="3E9871FB"/>
    <w:rsid w:val="3ECB4852"/>
    <w:rsid w:val="3EFE0783"/>
    <w:rsid w:val="3F1C50AD"/>
    <w:rsid w:val="3F77694A"/>
    <w:rsid w:val="3FB50B39"/>
    <w:rsid w:val="4000052B"/>
    <w:rsid w:val="4013200C"/>
    <w:rsid w:val="40606237"/>
    <w:rsid w:val="4088598E"/>
    <w:rsid w:val="40B15254"/>
    <w:rsid w:val="40B27725"/>
    <w:rsid w:val="40DB13A9"/>
    <w:rsid w:val="40F77505"/>
    <w:rsid w:val="41392906"/>
    <w:rsid w:val="413D7498"/>
    <w:rsid w:val="41554ECA"/>
    <w:rsid w:val="41C51A2C"/>
    <w:rsid w:val="42414B84"/>
    <w:rsid w:val="42495D05"/>
    <w:rsid w:val="424A79A4"/>
    <w:rsid w:val="425B5DDE"/>
    <w:rsid w:val="42A63854"/>
    <w:rsid w:val="42CF508C"/>
    <w:rsid w:val="42FB2755"/>
    <w:rsid w:val="430D7E5B"/>
    <w:rsid w:val="435A7DD4"/>
    <w:rsid w:val="436D1F73"/>
    <w:rsid w:val="436D273D"/>
    <w:rsid w:val="439B4AEA"/>
    <w:rsid w:val="447A209A"/>
    <w:rsid w:val="448879D9"/>
    <w:rsid w:val="44F55F2E"/>
    <w:rsid w:val="44FE4278"/>
    <w:rsid w:val="454F51DE"/>
    <w:rsid w:val="46005ABE"/>
    <w:rsid w:val="46496D4F"/>
    <w:rsid w:val="464E668C"/>
    <w:rsid w:val="46661275"/>
    <w:rsid w:val="46B44DD5"/>
    <w:rsid w:val="46B5206F"/>
    <w:rsid w:val="4703600F"/>
    <w:rsid w:val="47341F69"/>
    <w:rsid w:val="47486A40"/>
    <w:rsid w:val="47A22695"/>
    <w:rsid w:val="47B53E89"/>
    <w:rsid w:val="47BC742D"/>
    <w:rsid w:val="47F15329"/>
    <w:rsid w:val="480D7C89"/>
    <w:rsid w:val="4829646D"/>
    <w:rsid w:val="4856268A"/>
    <w:rsid w:val="487948F7"/>
    <w:rsid w:val="487B4F82"/>
    <w:rsid w:val="488717E9"/>
    <w:rsid w:val="49180694"/>
    <w:rsid w:val="4954172D"/>
    <w:rsid w:val="49C83E68"/>
    <w:rsid w:val="4A010545"/>
    <w:rsid w:val="4A1043C2"/>
    <w:rsid w:val="4A11580F"/>
    <w:rsid w:val="4A28456A"/>
    <w:rsid w:val="4A4A03AB"/>
    <w:rsid w:val="4A7965BA"/>
    <w:rsid w:val="4A7A4B3B"/>
    <w:rsid w:val="4ABB573D"/>
    <w:rsid w:val="4ACF6618"/>
    <w:rsid w:val="4AF806CE"/>
    <w:rsid w:val="4B115B10"/>
    <w:rsid w:val="4B464FAD"/>
    <w:rsid w:val="4B6A2199"/>
    <w:rsid w:val="4B70529F"/>
    <w:rsid w:val="4B96350B"/>
    <w:rsid w:val="4B98716F"/>
    <w:rsid w:val="4BA10FA3"/>
    <w:rsid w:val="4BB20D1E"/>
    <w:rsid w:val="4BC94E27"/>
    <w:rsid w:val="4BD444F8"/>
    <w:rsid w:val="4C06528D"/>
    <w:rsid w:val="4C087A13"/>
    <w:rsid w:val="4C4E3B4D"/>
    <w:rsid w:val="4C5C4819"/>
    <w:rsid w:val="4C5F530B"/>
    <w:rsid w:val="4C9E338E"/>
    <w:rsid w:val="4D027691"/>
    <w:rsid w:val="4D082F8C"/>
    <w:rsid w:val="4D722A68"/>
    <w:rsid w:val="4D8C1650"/>
    <w:rsid w:val="4D9B7497"/>
    <w:rsid w:val="4DA5343B"/>
    <w:rsid w:val="4DE04C8E"/>
    <w:rsid w:val="4DF06069"/>
    <w:rsid w:val="4E030693"/>
    <w:rsid w:val="4E0C779B"/>
    <w:rsid w:val="4E1354BA"/>
    <w:rsid w:val="4E2E77CF"/>
    <w:rsid w:val="4E7B3BB7"/>
    <w:rsid w:val="4E9133C2"/>
    <w:rsid w:val="4E975520"/>
    <w:rsid w:val="4EB07F17"/>
    <w:rsid w:val="4EB714DF"/>
    <w:rsid w:val="4EBA5F12"/>
    <w:rsid w:val="4EED094E"/>
    <w:rsid w:val="4EF779AD"/>
    <w:rsid w:val="4F9071D6"/>
    <w:rsid w:val="4F9A0054"/>
    <w:rsid w:val="4FCC5A09"/>
    <w:rsid w:val="4FE6705C"/>
    <w:rsid w:val="4FF359B6"/>
    <w:rsid w:val="50642410"/>
    <w:rsid w:val="506F6034"/>
    <w:rsid w:val="50854860"/>
    <w:rsid w:val="50EC4FB2"/>
    <w:rsid w:val="512701BF"/>
    <w:rsid w:val="512A0C17"/>
    <w:rsid w:val="51524C1F"/>
    <w:rsid w:val="515F57DB"/>
    <w:rsid w:val="517F7562"/>
    <w:rsid w:val="51845F5E"/>
    <w:rsid w:val="519A4B8C"/>
    <w:rsid w:val="51C13C7D"/>
    <w:rsid w:val="51C413B8"/>
    <w:rsid w:val="51E14384"/>
    <w:rsid w:val="52275A58"/>
    <w:rsid w:val="524962BD"/>
    <w:rsid w:val="524C2934"/>
    <w:rsid w:val="528352F5"/>
    <w:rsid w:val="52D018DB"/>
    <w:rsid w:val="52D72101"/>
    <w:rsid w:val="52D731CF"/>
    <w:rsid w:val="53285977"/>
    <w:rsid w:val="533A6A6A"/>
    <w:rsid w:val="53876B42"/>
    <w:rsid w:val="53897DC2"/>
    <w:rsid w:val="53CA0F06"/>
    <w:rsid w:val="53E0223F"/>
    <w:rsid w:val="5407600F"/>
    <w:rsid w:val="54215767"/>
    <w:rsid w:val="54685420"/>
    <w:rsid w:val="548D0188"/>
    <w:rsid w:val="54A0203E"/>
    <w:rsid w:val="54AE1308"/>
    <w:rsid w:val="54CB6F02"/>
    <w:rsid w:val="55067F3A"/>
    <w:rsid w:val="55097432"/>
    <w:rsid w:val="55104775"/>
    <w:rsid w:val="55801A9A"/>
    <w:rsid w:val="558F07BD"/>
    <w:rsid w:val="55A21A11"/>
    <w:rsid w:val="55B07AA1"/>
    <w:rsid w:val="55DC40B5"/>
    <w:rsid w:val="55DF44B8"/>
    <w:rsid w:val="56757125"/>
    <w:rsid w:val="56AF336A"/>
    <w:rsid w:val="56B508CA"/>
    <w:rsid w:val="56C755B8"/>
    <w:rsid w:val="57072A68"/>
    <w:rsid w:val="570D735E"/>
    <w:rsid w:val="57272B15"/>
    <w:rsid w:val="57A0068E"/>
    <w:rsid w:val="57B43AB3"/>
    <w:rsid w:val="57B603A9"/>
    <w:rsid w:val="57B62CB8"/>
    <w:rsid w:val="583755C6"/>
    <w:rsid w:val="587B6A68"/>
    <w:rsid w:val="5885199A"/>
    <w:rsid w:val="58B101BD"/>
    <w:rsid w:val="58C55F8B"/>
    <w:rsid w:val="598633F7"/>
    <w:rsid w:val="59D3486F"/>
    <w:rsid w:val="5A0F6A0F"/>
    <w:rsid w:val="5A2F3ACE"/>
    <w:rsid w:val="5A8C0C48"/>
    <w:rsid w:val="5A985E06"/>
    <w:rsid w:val="5AF7354A"/>
    <w:rsid w:val="5B0309A2"/>
    <w:rsid w:val="5B04316E"/>
    <w:rsid w:val="5B0E50CA"/>
    <w:rsid w:val="5B24610C"/>
    <w:rsid w:val="5B34012D"/>
    <w:rsid w:val="5B394E34"/>
    <w:rsid w:val="5B414D68"/>
    <w:rsid w:val="5B435A44"/>
    <w:rsid w:val="5B7C726D"/>
    <w:rsid w:val="5B8037C4"/>
    <w:rsid w:val="5B9371A5"/>
    <w:rsid w:val="5BC654D1"/>
    <w:rsid w:val="5BD16CC6"/>
    <w:rsid w:val="5BF76A5F"/>
    <w:rsid w:val="5C091407"/>
    <w:rsid w:val="5C2A525F"/>
    <w:rsid w:val="5C441A74"/>
    <w:rsid w:val="5C584D1D"/>
    <w:rsid w:val="5C6E6AF1"/>
    <w:rsid w:val="5C855BE8"/>
    <w:rsid w:val="5C997D25"/>
    <w:rsid w:val="5C9D75A3"/>
    <w:rsid w:val="5CAC0F76"/>
    <w:rsid w:val="5CC90B04"/>
    <w:rsid w:val="5CCD5CD0"/>
    <w:rsid w:val="5CD7234D"/>
    <w:rsid w:val="5CE85274"/>
    <w:rsid w:val="5CFC40FC"/>
    <w:rsid w:val="5DA36667"/>
    <w:rsid w:val="5DC66ADB"/>
    <w:rsid w:val="5DCE5AC8"/>
    <w:rsid w:val="5DEC5001"/>
    <w:rsid w:val="5E0B6BA1"/>
    <w:rsid w:val="5E2E2F23"/>
    <w:rsid w:val="5E7F4A6F"/>
    <w:rsid w:val="5E955ABB"/>
    <w:rsid w:val="5EB6652D"/>
    <w:rsid w:val="5EC84006"/>
    <w:rsid w:val="5ECA31DC"/>
    <w:rsid w:val="5ECB7717"/>
    <w:rsid w:val="5F1249CD"/>
    <w:rsid w:val="5F6E76FC"/>
    <w:rsid w:val="5F884ED1"/>
    <w:rsid w:val="6012002C"/>
    <w:rsid w:val="607E715C"/>
    <w:rsid w:val="608F03B6"/>
    <w:rsid w:val="609C20AA"/>
    <w:rsid w:val="60A642C7"/>
    <w:rsid w:val="60A70823"/>
    <w:rsid w:val="60C4111A"/>
    <w:rsid w:val="61047A23"/>
    <w:rsid w:val="6125252F"/>
    <w:rsid w:val="617526CF"/>
    <w:rsid w:val="618943CD"/>
    <w:rsid w:val="6196185F"/>
    <w:rsid w:val="61B22F79"/>
    <w:rsid w:val="61D34FA6"/>
    <w:rsid w:val="61F6605A"/>
    <w:rsid w:val="621041A6"/>
    <w:rsid w:val="62350DF4"/>
    <w:rsid w:val="6252656D"/>
    <w:rsid w:val="62574A14"/>
    <w:rsid w:val="625E3163"/>
    <w:rsid w:val="62725194"/>
    <w:rsid w:val="62BC6150"/>
    <w:rsid w:val="62C13FE8"/>
    <w:rsid w:val="62C77E4A"/>
    <w:rsid w:val="62DA7E43"/>
    <w:rsid w:val="630D133D"/>
    <w:rsid w:val="632B2C60"/>
    <w:rsid w:val="633D27F8"/>
    <w:rsid w:val="633E7061"/>
    <w:rsid w:val="635932B2"/>
    <w:rsid w:val="63A636D4"/>
    <w:rsid w:val="63EE6769"/>
    <w:rsid w:val="63F25A88"/>
    <w:rsid w:val="642B4BCA"/>
    <w:rsid w:val="6459178F"/>
    <w:rsid w:val="6481138B"/>
    <w:rsid w:val="64BA1C4E"/>
    <w:rsid w:val="65185CE3"/>
    <w:rsid w:val="65211D6A"/>
    <w:rsid w:val="6531690D"/>
    <w:rsid w:val="65394E30"/>
    <w:rsid w:val="657B5DDA"/>
    <w:rsid w:val="65976069"/>
    <w:rsid w:val="66030CEB"/>
    <w:rsid w:val="66073C63"/>
    <w:rsid w:val="660D707D"/>
    <w:rsid w:val="661B7A99"/>
    <w:rsid w:val="663210F7"/>
    <w:rsid w:val="66782244"/>
    <w:rsid w:val="667E5B82"/>
    <w:rsid w:val="668C5C8D"/>
    <w:rsid w:val="66A22B82"/>
    <w:rsid w:val="673B7920"/>
    <w:rsid w:val="676B33FC"/>
    <w:rsid w:val="67784CC7"/>
    <w:rsid w:val="678A3FC8"/>
    <w:rsid w:val="679118E5"/>
    <w:rsid w:val="67DA3EDA"/>
    <w:rsid w:val="67E11D53"/>
    <w:rsid w:val="67E934CF"/>
    <w:rsid w:val="67FF2CF3"/>
    <w:rsid w:val="6852631D"/>
    <w:rsid w:val="688431F8"/>
    <w:rsid w:val="68861B58"/>
    <w:rsid w:val="68FD194E"/>
    <w:rsid w:val="692C39A2"/>
    <w:rsid w:val="69352B76"/>
    <w:rsid w:val="693A5F2F"/>
    <w:rsid w:val="694B26A8"/>
    <w:rsid w:val="696525F7"/>
    <w:rsid w:val="698273F4"/>
    <w:rsid w:val="69DB3B96"/>
    <w:rsid w:val="69EE7273"/>
    <w:rsid w:val="6A0B6935"/>
    <w:rsid w:val="6A415844"/>
    <w:rsid w:val="6AC10335"/>
    <w:rsid w:val="6AFF300A"/>
    <w:rsid w:val="6B0655A6"/>
    <w:rsid w:val="6B2E300D"/>
    <w:rsid w:val="6B314B92"/>
    <w:rsid w:val="6B5243A0"/>
    <w:rsid w:val="6B6A78A0"/>
    <w:rsid w:val="6B715636"/>
    <w:rsid w:val="6B774CA4"/>
    <w:rsid w:val="6BB87D88"/>
    <w:rsid w:val="6BC95263"/>
    <w:rsid w:val="6C332ECB"/>
    <w:rsid w:val="6C907051"/>
    <w:rsid w:val="6CA253FB"/>
    <w:rsid w:val="6CE74725"/>
    <w:rsid w:val="6CF56F18"/>
    <w:rsid w:val="6D140FEE"/>
    <w:rsid w:val="6D4F70BF"/>
    <w:rsid w:val="6D71200F"/>
    <w:rsid w:val="6D7826D8"/>
    <w:rsid w:val="6D7970A3"/>
    <w:rsid w:val="6D7B7F7D"/>
    <w:rsid w:val="6D83645A"/>
    <w:rsid w:val="6D897EAC"/>
    <w:rsid w:val="6D8C2A57"/>
    <w:rsid w:val="6D9B2006"/>
    <w:rsid w:val="6DB7784C"/>
    <w:rsid w:val="6DE63B20"/>
    <w:rsid w:val="6DF760DE"/>
    <w:rsid w:val="6E096679"/>
    <w:rsid w:val="6E3348A1"/>
    <w:rsid w:val="6E46167B"/>
    <w:rsid w:val="6E692145"/>
    <w:rsid w:val="6E7964CB"/>
    <w:rsid w:val="6EE20D79"/>
    <w:rsid w:val="6F4122B8"/>
    <w:rsid w:val="6F7E0A39"/>
    <w:rsid w:val="6F9F4119"/>
    <w:rsid w:val="6FEA4288"/>
    <w:rsid w:val="70590B2B"/>
    <w:rsid w:val="706B361B"/>
    <w:rsid w:val="70AC28EE"/>
    <w:rsid w:val="70C745D3"/>
    <w:rsid w:val="70D41D82"/>
    <w:rsid w:val="70E87B49"/>
    <w:rsid w:val="70F817A8"/>
    <w:rsid w:val="71016B75"/>
    <w:rsid w:val="71193077"/>
    <w:rsid w:val="718921AB"/>
    <w:rsid w:val="71A70423"/>
    <w:rsid w:val="71BA0924"/>
    <w:rsid w:val="72143D3F"/>
    <w:rsid w:val="721E6633"/>
    <w:rsid w:val="72206B03"/>
    <w:rsid w:val="7258408A"/>
    <w:rsid w:val="726E0D34"/>
    <w:rsid w:val="727B3FBB"/>
    <w:rsid w:val="727E5625"/>
    <w:rsid w:val="729026FE"/>
    <w:rsid w:val="72E60323"/>
    <w:rsid w:val="72F01BB6"/>
    <w:rsid w:val="72FF004B"/>
    <w:rsid w:val="73093F75"/>
    <w:rsid w:val="73124370"/>
    <w:rsid w:val="73306456"/>
    <w:rsid w:val="7346211D"/>
    <w:rsid w:val="735E38FC"/>
    <w:rsid w:val="736C5341"/>
    <w:rsid w:val="73932458"/>
    <w:rsid w:val="73BC418E"/>
    <w:rsid w:val="73C02469"/>
    <w:rsid w:val="742F78CB"/>
    <w:rsid w:val="747373E5"/>
    <w:rsid w:val="74960C39"/>
    <w:rsid w:val="74C464D6"/>
    <w:rsid w:val="74E9073F"/>
    <w:rsid w:val="750A2CD7"/>
    <w:rsid w:val="750A3F6D"/>
    <w:rsid w:val="75191906"/>
    <w:rsid w:val="751E422D"/>
    <w:rsid w:val="75945C3C"/>
    <w:rsid w:val="75972B25"/>
    <w:rsid w:val="75C1376C"/>
    <w:rsid w:val="75CC1179"/>
    <w:rsid w:val="75DB566E"/>
    <w:rsid w:val="75F00D6A"/>
    <w:rsid w:val="75F70B22"/>
    <w:rsid w:val="76116918"/>
    <w:rsid w:val="76354BBB"/>
    <w:rsid w:val="769A6A08"/>
    <w:rsid w:val="76CB1B74"/>
    <w:rsid w:val="76F63BF6"/>
    <w:rsid w:val="771A448C"/>
    <w:rsid w:val="771A5453"/>
    <w:rsid w:val="7727418A"/>
    <w:rsid w:val="77370C4E"/>
    <w:rsid w:val="777A4444"/>
    <w:rsid w:val="777C6F6A"/>
    <w:rsid w:val="77AC4D34"/>
    <w:rsid w:val="77B14631"/>
    <w:rsid w:val="77DE5600"/>
    <w:rsid w:val="77FC6460"/>
    <w:rsid w:val="7838223F"/>
    <w:rsid w:val="78461060"/>
    <w:rsid w:val="78893835"/>
    <w:rsid w:val="789E5A3E"/>
    <w:rsid w:val="78AA071C"/>
    <w:rsid w:val="78CD62B4"/>
    <w:rsid w:val="78D652D4"/>
    <w:rsid w:val="78E42830"/>
    <w:rsid w:val="78E73665"/>
    <w:rsid w:val="794562DB"/>
    <w:rsid w:val="79592B0E"/>
    <w:rsid w:val="795D10B9"/>
    <w:rsid w:val="79783C61"/>
    <w:rsid w:val="79806824"/>
    <w:rsid w:val="798B1DEE"/>
    <w:rsid w:val="799B5684"/>
    <w:rsid w:val="7A0D09CC"/>
    <w:rsid w:val="7A3A015A"/>
    <w:rsid w:val="7A464D2C"/>
    <w:rsid w:val="7A606DFA"/>
    <w:rsid w:val="7A6E18FF"/>
    <w:rsid w:val="7A7E219D"/>
    <w:rsid w:val="7A8A5D97"/>
    <w:rsid w:val="7AC06311"/>
    <w:rsid w:val="7AC35E02"/>
    <w:rsid w:val="7AD52A4C"/>
    <w:rsid w:val="7B8A50A7"/>
    <w:rsid w:val="7B9217AF"/>
    <w:rsid w:val="7BE35CA3"/>
    <w:rsid w:val="7C296138"/>
    <w:rsid w:val="7C5E1196"/>
    <w:rsid w:val="7C7F10AF"/>
    <w:rsid w:val="7CE57CEB"/>
    <w:rsid w:val="7CF7561F"/>
    <w:rsid w:val="7D1249C7"/>
    <w:rsid w:val="7D1E1A15"/>
    <w:rsid w:val="7D290707"/>
    <w:rsid w:val="7D4B3066"/>
    <w:rsid w:val="7D5F438B"/>
    <w:rsid w:val="7D7B29C4"/>
    <w:rsid w:val="7D9B51A6"/>
    <w:rsid w:val="7DF85F10"/>
    <w:rsid w:val="7E1E7F1F"/>
    <w:rsid w:val="7E4E3EC4"/>
    <w:rsid w:val="7E556940"/>
    <w:rsid w:val="7EEB4809"/>
    <w:rsid w:val="7EFF0653"/>
    <w:rsid w:val="7F1240AD"/>
    <w:rsid w:val="7F131B13"/>
    <w:rsid w:val="7F267F8D"/>
    <w:rsid w:val="7F8F09EE"/>
    <w:rsid w:val="7FF5697B"/>
    <w:rsid w:val="7FFF2135"/>
    <w:rsid w:val="99FF9B48"/>
    <w:rsid w:val="C37FC09A"/>
    <w:rsid w:val="FE7F1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Balloon Text"/>
    <w:basedOn w:val="1"/>
    <w:link w:val="14"/>
    <w:qFormat/>
    <w:uiPriority w:val="0"/>
    <w:rPr>
      <w:sz w:val="18"/>
      <w:szCs w:val="18"/>
    </w:rPr>
  </w:style>
  <w:style w:type="paragraph" w:styleId="4">
    <w:name w:val="footer"/>
    <w:basedOn w:val="1"/>
    <w:link w:val="15"/>
    <w:semiHidden/>
    <w:qFormat/>
    <w:uiPriority w:val="0"/>
    <w:pPr>
      <w:tabs>
        <w:tab w:val="center" w:pos="4153"/>
        <w:tab w:val="right" w:pos="8306"/>
      </w:tabs>
      <w:snapToGrid w:val="0"/>
      <w:jc w:val="left"/>
    </w:pPr>
    <w:rPr>
      <w:kern w:val="0"/>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7"/>
    <w:qFormat/>
    <w:uiPriority w:val="0"/>
    <w:rPr>
      <w:b/>
      <w:bCs/>
    </w:rPr>
  </w:style>
  <w:style w:type="character" w:styleId="9">
    <w:name w:val="Strong"/>
    <w:qFormat/>
    <w:uiPriority w:val="22"/>
    <w:rPr>
      <w:b/>
      <w:bCs/>
    </w:rPr>
  </w:style>
  <w:style w:type="character" w:styleId="10">
    <w:name w:val="page number"/>
    <w:qFormat/>
    <w:uiPriority w:val="0"/>
    <w:rPr>
      <w:rFonts w:cs="Times New Roman"/>
    </w:rPr>
  </w:style>
  <w:style w:type="character" w:styleId="11">
    <w:name w:val="Hyperlink"/>
    <w:basedOn w:val="8"/>
    <w:qFormat/>
    <w:uiPriority w:val="0"/>
    <w:rPr>
      <w:color w:val="0000FF"/>
      <w:u w:val="single"/>
    </w:rPr>
  </w:style>
  <w:style w:type="character" w:styleId="12">
    <w:name w:val="annotation reference"/>
    <w:qFormat/>
    <w:uiPriority w:val="99"/>
    <w:rPr>
      <w:sz w:val="21"/>
      <w:szCs w:val="21"/>
    </w:rPr>
  </w:style>
  <w:style w:type="character" w:customStyle="1" w:styleId="13">
    <w:name w:val="批注文字 字符1"/>
    <w:link w:val="2"/>
    <w:qFormat/>
    <w:uiPriority w:val="99"/>
    <w:rPr>
      <w:rFonts w:ascii="Calibri" w:hAnsi="Calibri"/>
      <w:kern w:val="2"/>
      <w:sz w:val="21"/>
      <w:szCs w:val="22"/>
    </w:rPr>
  </w:style>
  <w:style w:type="character" w:customStyle="1" w:styleId="14">
    <w:name w:val="批注框文本 字符"/>
    <w:link w:val="3"/>
    <w:qFormat/>
    <w:uiPriority w:val="0"/>
    <w:rPr>
      <w:rFonts w:ascii="Calibri" w:hAnsi="Calibri"/>
      <w:kern w:val="2"/>
      <w:sz w:val="18"/>
      <w:szCs w:val="18"/>
    </w:rPr>
  </w:style>
  <w:style w:type="character" w:customStyle="1" w:styleId="15">
    <w:name w:val="页脚 字符"/>
    <w:link w:val="4"/>
    <w:semiHidden/>
    <w:qFormat/>
    <w:locked/>
    <w:uiPriority w:val="0"/>
    <w:rPr>
      <w:rFonts w:ascii="Calibri" w:hAnsi="Calibri" w:eastAsia="宋体"/>
      <w:sz w:val="18"/>
      <w:szCs w:val="18"/>
      <w:lang w:val="en-US" w:eastAsia="zh-CN" w:bidi="ar-SA"/>
    </w:rPr>
  </w:style>
  <w:style w:type="character" w:customStyle="1" w:styleId="16">
    <w:name w:val="页眉 字符1"/>
    <w:link w:val="5"/>
    <w:semiHidden/>
    <w:qFormat/>
    <w:locked/>
    <w:uiPriority w:val="0"/>
    <w:rPr>
      <w:rFonts w:ascii="Calibri" w:hAnsi="Calibri" w:eastAsia="宋体"/>
      <w:sz w:val="18"/>
      <w:szCs w:val="18"/>
      <w:lang w:val="en-US" w:eastAsia="zh-CN" w:bidi="ar-SA"/>
    </w:rPr>
  </w:style>
  <w:style w:type="character" w:customStyle="1" w:styleId="17">
    <w:name w:val="批注主题 字符"/>
    <w:link w:val="6"/>
    <w:qFormat/>
    <w:uiPriority w:val="0"/>
    <w:rPr>
      <w:rFonts w:ascii="Calibri" w:hAnsi="Calibri"/>
      <w:b/>
      <w:bCs/>
      <w:kern w:val="2"/>
      <w:sz w:val="21"/>
      <w:szCs w:val="22"/>
    </w:rPr>
  </w:style>
  <w:style w:type="character" w:customStyle="1" w:styleId="18">
    <w:name w:val="页眉 字符"/>
    <w:qFormat/>
    <w:uiPriority w:val="99"/>
  </w:style>
  <w:style w:type="character" w:customStyle="1" w:styleId="19">
    <w:name w:val="批注文字 字符"/>
    <w:qFormat/>
    <w:uiPriority w:val="0"/>
    <w:rPr>
      <w:rFonts w:ascii="Calibri" w:hAnsi="Calibri"/>
      <w:kern w:val="2"/>
      <w:sz w:val="21"/>
      <w:szCs w:val="22"/>
    </w:rPr>
  </w:style>
  <w:style w:type="paragraph" w:customStyle="1" w:styleId="20">
    <w:name w:val="_Style 18"/>
    <w:unhideWhenUsed/>
    <w:qFormat/>
    <w:uiPriority w:val="99"/>
    <w:rPr>
      <w:rFonts w:ascii="Calibri" w:hAnsi="Calibri" w:eastAsia="宋体" w:cs="Times New Roman"/>
      <w:kern w:val="2"/>
      <w:sz w:val="21"/>
      <w:szCs w:val="22"/>
      <w:lang w:val="en-US" w:eastAsia="zh-CN" w:bidi="ar-SA"/>
    </w:rPr>
  </w:style>
  <w:style w:type="paragraph" w:customStyle="1" w:styleId="21">
    <w:name w:val="彩色底纹 - 强调文字颜色 11"/>
    <w:qFormat/>
    <w:uiPriority w:val="71"/>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3944</Words>
  <Characters>3981</Characters>
  <Lines>32</Lines>
  <Paragraphs>9</Paragraphs>
  <TotalTime>12</TotalTime>
  <ScaleCrop>false</ScaleCrop>
  <LinksUpToDate>false</LinksUpToDate>
  <CharactersWithSpaces>4123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2020-08-04T14:30:00Z</dcterms:created>
  <dc:creator>匿名用户</dc:creator>
  <cp:lastModifiedBy> </cp:lastModifiedBy>
  <cp:lastPrinted>2020-06-21T21:35:00Z</cp:lastPrinted>
  <dcterms:modified xsi:type="dcterms:W3CDTF">2025-11-07T09:29:17Z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51098F9E09FE4AFE97896BCB1FD0ACC8</vt:lpwstr>
  </property>
</Properties>
</file>