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南银理财鼎瑞悦稳红利（最低持有1092天）公募人民币理财产品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南银理财鼎瑞悦稳红利（最低持有1092天）公募人民币理财产品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Z7003223000244（投资者可依据该编码在中国理财网www.chinawealth.com.cn查询理财产品相关信息）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2023年12月14日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1,010,874,215.32份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100.07%</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中粮信托有限责任公司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A34001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997,827,509.07</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1.010795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1.060295</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14,495.85</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A34003</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12,087,899.31</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1.010014</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1.055073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A34004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11,863,201.49</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1.010872</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1.054783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  操作方面，坚持稳健运作的投资理念，对于利差保护较足的信用资产积极配置，同时关注交易活跃品种的波段机会，结合收益率水平做好久期与杠杆管理，获取稳健的投资回报。</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  本产品持仓资产以债券为主，在持仓中维持合理比例高流动性资产，产品流动性状况较好。</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截至报告期末，本产品A34001份额净值为1.010795元，A34003份额净值为1.010014元，A34004份额净值为1.010872元。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81.35</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18.65</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ZJQTT202308040001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507,670,213.04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49.68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ZJQTT202309270002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中粮信托-鼎兴8号集合资金信托计划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334,166,385.67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32.70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256242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24通投03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52,435,050.00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5.13</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256265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24清浦02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46,641,420.00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252510</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23丰开04</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10,398,810.00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252335</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23博融02</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10,379,320.00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252098</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23盐交03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10,365,080.00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252477</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23丰港04</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10,363,850.00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252189</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23丰鑫01</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10,301,290.00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1.01</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253380</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23泰滨07</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10,258,880.00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0101060000000826</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南京银行南京分行南银理财鼎瑞悦稳红利最低持有1092天</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101,362.28</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465,838.02</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