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FD04DE" w:rsidRDefault="00FD04DE" w:rsidP="00651A79">
      <w:pPr>
        <w:spacing w:before="240" w:afterLines="30" w:line="360" w:lineRule="auto"/>
        <w:jc w:val="center"/>
      </w:pPr>
    </w:p>
    <w:p w:rsidR="00FD04DE" w:rsidRDefault="00FD04DE" w:rsidP="00651A79">
      <w:pPr>
        <w:spacing w:before="240" w:afterLines="30" w:line="360" w:lineRule="auto"/>
        <w:jc w:val="center"/>
      </w:pPr>
    </w:p>
    <w:p w:rsidR="00FD04DE" w:rsidRDefault="00FD04DE" w:rsidP="00651A79">
      <w:pPr>
        <w:spacing w:before="240" w:afterLines="30" w:line="360" w:lineRule="auto"/>
        <w:jc w:val="center"/>
      </w:pPr>
    </w:p>
    <w:p w:rsidR="00FD04DE" w:rsidRDefault="0068117A" w:rsidP="00651A79">
      <w:pPr>
        <w:spacing w:before="240" w:afterLines="30" w:line="360" w:lineRule="auto"/>
        <w:jc w:val="center"/>
        <w:rPr>
          <w:rFonts w:ascii="方正黑体简体" w:eastAsia="方正黑体简体"/>
          <w:sz w:val="36"/>
        </w:rPr>
      </w:pPr>
      <w:r>
        <w:rPr>
          <w:rFonts w:ascii="方正黑体简体" w:eastAsia="方正黑体简体"/>
          <w:sz w:val="36"/>
        </w:rPr>
        <w:t>南银理财珠联璧合日日聚宝现金管理类公募人民币理财产品</w:t>
      </w:r>
    </w:p>
    <w:p w:rsidR="00FD04DE" w:rsidRDefault="0068117A" w:rsidP="00651A79">
      <w:pPr>
        <w:spacing w:before="240" w:afterLines="30" w:line="360" w:lineRule="auto"/>
        <w:jc w:val="center"/>
        <w:rPr>
          <w:rFonts w:ascii="方正黑体简体" w:eastAsia="方正黑体简体" w:hAnsi="黑体"/>
          <w:sz w:val="36"/>
        </w:rPr>
      </w:pPr>
      <w:r>
        <w:rPr>
          <w:rFonts w:ascii="方正黑体简体" w:eastAsia="方正黑体简体" w:hAnsi="黑体"/>
          <w:sz w:val="36"/>
        </w:rPr>
        <w:t>2025年半</w:t>
      </w:r>
      <w:r>
        <w:rPr>
          <w:rFonts w:ascii="方正黑体简体" w:eastAsia="方正黑体简体" w:hAnsi="Calibri" w:hint="eastAsia"/>
          <w:sz w:val="36"/>
        </w:rPr>
        <w:t>年度</w:t>
      </w:r>
      <w:r>
        <w:rPr>
          <w:rFonts w:ascii="方正黑体简体" w:eastAsia="方正黑体简体" w:hAnsi="黑体"/>
          <w:sz w:val="36"/>
        </w:rPr>
        <w:t>报告</w:t>
      </w:r>
    </w:p>
    <w:p w:rsidR="00FD04DE" w:rsidRDefault="00FD04DE" w:rsidP="00651A79">
      <w:pPr>
        <w:spacing w:before="240" w:afterLines="30" w:line="360" w:lineRule="auto"/>
        <w:jc w:val="center"/>
        <w:rPr>
          <w:rFonts w:ascii="黑体" w:eastAsia="黑体" w:hAnsi="黑体"/>
          <w:sz w:val="36"/>
        </w:rPr>
      </w:pPr>
    </w:p>
    <w:p w:rsidR="00FD04DE" w:rsidRDefault="00FD04DE" w:rsidP="00651A79">
      <w:pPr>
        <w:spacing w:before="240" w:afterLines="30" w:line="360" w:lineRule="auto"/>
        <w:jc w:val="center"/>
        <w:rPr>
          <w:rFonts w:ascii="黑体" w:eastAsia="黑体" w:hAnsi="黑体"/>
          <w:sz w:val="36"/>
        </w:rPr>
      </w:pPr>
    </w:p>
    <w:p w:rsidR="00FD04DE" w:rsidRDefault="00FD04DE" w:rsidP="00651A79">
      <w:pPr>
        <w:spacing w:before="240" w:afterLines="30" w:line="360" w:lineRule="auto"/>
        <w:jc w:val="center"/>
        <w:rPr>
          <w:rFonts w:ascii="黑体" w:eastAsia="黑体" w:hAnsi="黑体"/>
          <w:sz w:val="36"/>
        </w:rPr>
      </w:pPr>
    </w:p>
    <w:p w:rsidR="00FD04DE" w:rsidRDefault="00FD04DE" w:rsidP="00651A79">
      <w:pPr>
        <w:spacing w:before="240" w:afterLines="30" w:line="360" w:lineRule="auto"/>
        <w:jc w:val="center"/>
        <w:rPr>
          <w:rFonts w:ascii="黑体" w:eastAsia="黑体" w:hAnsi="黑体"/>
          <w:sz w:val="36"/>
        </w:rPr>
      </w:pPr>
    </w:p>
    <w:p w:rsidR="00FD04DE" w:rsidRDefault="00FD04DE" w:rsidP="00651A79">
      <w:pPr>
        <w:spacing w:before="240" w:afterLines="30" w:line="360" w:lineRule="auto"/>
        <w:jc w:val="center"/>
        <w:rPr>
          <w:rFonts w:ascii="黑体" w:eastAsia="黑体" w:hAnsi="黑体"/>
          <w:sz w:val="36"/>
        </w:rPr>
      </w:pPr>
    </w:p>
    <w:p w:rsidR="00FD04DE" w:rsidRDefault="00FD04DE" w:rsidP="00651A79">
      <w:pPr>
        <w:spacing w:before="240" w:afterLines="30" w:line="360" w:lineRule="auto"/>
        <w:jc w:val="center"/>
        <w:rPr>
          <w:rFonts w:ascii="黑体" w:eastAsia="黑体" w:hAnsi="黑体"/>
          <w:sz w:val="36"/>
        </w:rPr>
      </w:pPr>
    </w:p>
    <w:p w:rsidR="00FD04DE" w:rsidRDefault="0068117A" w:rsidP="00651A79">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产品管理人:</w:t>
      </w:r>
      <w:r>
        <w:rPr>
          <w:rFonts w:ascii="方正仿宋简体" w:eastAsia="方正仿宋简体"/>
          <w:b/>
          <w:sz w:val="24"/>
          <w:szCs w:val="24"/>
        </w:rPr>
        <w:t>南银理财有限责任公司</w:t>
      </w:r>
    </w:p>
    <w:p w:rsidR="00FD04DE" w:rsidRDefault="0068117A" w:rsidP="00651A79">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产品托管人:</w:t>
      </w:r>
      <w:r>
        <w:rPr>
          <w:rFonts w:ascii="方正仿宋简体" w:eastAsia="方正仿宋简体"/>
          <w:b/>
          <w:sz w:val="24"/>
          <w:szCs w:val="24"/>
        </w:rPr>
        <w:t>南京银行股份有限公司</w:t>
      </w:r>
    </w:p>
    <w:p w:rsidR="00FD04DE" w:rsidRDefault="0068117A">
      <w:pPr>
        <w:widowControl/>
        <w:jc w:val="left"/>
        <w:rPr>
          <w:rFonts w:ascii="方正仿宋简体" w:eastAsia="方正仿宋简体"/>
        </w:rPr>
      </w:pPr>
      <w:r>
        <w:rPr>
          <w:rFonts w:ascii="方正仿宋简体" w:eastAsia="方正仿宋简体"/>
        </w:rPr>
        <w:br w:type="page"/>
      </w:r>
    </w:p>
    <w:p w:rsidR="00FD04DE" w:rsidRDefault="0068117A" w:rsidP="00651A79">
      <w:pPr>
        <w:spacing w:before="240" w:afterLines="30" w:line="360" w:lineRule="auto"/>
        <w:jc w:val="center"/>
        <w:rPr>
          <w:rFonts w:ascii="方正仿宋简体" w:eastAsia="方正仿宋简体"/>
        </w:rPr>
      </w:pPr>
      <w:r>
        <w:rPr>
          <w:rFonts w:ascii="方正仿宋简体" w:eastAsia="方正仿宋简体" w:hAnsi="Calibri" w:hint="eastAsia"/>
          <w:b/>
          <w:sz w:val="24"/>
          <w:szCs w:val="24"/>
        </w:rPr>
        <w:lastRenderedPageBreak/>
        <w:t>§1 产品概况</w:t>
      </w:r>
    </w:p>
    <w:tbl>
      <w:tblPr>
        <w:tblW w:w="88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2724"/>
        <w:gridCol w:w="6094"/>
      </w:tblGrid>
      <w:tr w:rsidR="00FD04DE">
        <w:tc>
          <w:tcPr>
            <w:tcW w:w="272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产品全称</w:t>
            </w:r>
          </w:p>
        </w:tc>
        <w:tc>
          <w:tcPr>
            <w:tcW w:w="609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南银理财珠联璧合日日聚宝现金管理类公募人民币理财产品</w:t>
            </w:r>
          </w:p>
        </w:tc>
      </w:tr>
      <w:tr w:rsidR="00FD04DE">
        <w:tc>
          <w:tcPr>
            <w:tcW w:w="272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产品登记编码</w:t>
            </w:r>
          </w:p>
        </w:tc>
        <w:tc>
          <w:tcPr>
            <w:tcW w:w="609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Z7003220000009（投资者可依据该编码在中国理财网www.chinawealth.com.cn查询理财产品相关信息）</w:t>
            </w:r>
          </w:p>
        </w:tc>
      </w:tr>
      <w:tr w:rsidR="00FD04DE">
        <w:tc>
          <w:tcPr>
            <w:tcW w:w="272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产品运作方式</w:t>
            </w:r>
          </w:p>
        </w:tc>
        <w:tc>
          <w:tcPr>
            <w:tcW w:w="609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开放式净值型</w:t>
            </w:r>
          </w:p>
        </w:tc>
      </w:tr>
      <w:tr w:rsidR="00FD04DE">
        <w:tc>
          <w:tcPr>
            <w:tcW w:w="272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产品成立日</w:t>
            </w:r>
          </w:p>
        </w:tc>
        <w:tc>
          <w:tcPr>
            <w:tcW w:w="609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2019年10月22日</w:t>
            </w:r>
          </w:p>
        </w:tc>
      </w:tr>
      <w:tr w:rsidR="00FD04DE">
        <w:tc>
          <w:tcPr>
            <w:tcW w:w="272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报告期末产品份额总额</w:t>
            </w:r>
          </w:p>
        </w:tc>
        <w:tc>
          <w:tcPr>
            <w:tcW w:w="609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12,347,462,736.97份</w:t>
            </w:r>
          </w:p>
        </w:tc>
      </w:tr>
      <w:tr w:rsidR="00FD04DE">
        <w:tc>
          <w:tcPr>
            <w:tcW w:w="272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报告期末产品杠杆水平</w:t>
            </w:r>
          </w:p>
        </w:tc>
        <w:tc>
          <w:tcPr>
            <w:tcW w:w="609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sz w:val="24"/>
                <w:szCs w:val="24"/>
              </w:rPr>
              <w:t>108.01%</w:t>
            </w:r>
          </w:p>
        </w:tc>
      </w:tr>
      <w:tr w:rsidR="00FD04DE">
        <w:tc>
          <w:tcPr>
            <w:tcW w:w="272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合作机构</w:t>
            </w:r>
          </w:p>
        </w:tc>
        <w:tc>
          <w:tcPr>
            <w:tcW w:w="609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中诚信托有限责任公司,华润深国投信托有限公司,陆家嘴国际信托有限公司</w:t>
            </w:r>
          </w:p>
        </w:tc>
      </w:tr>
      <w:tr w:rsidR="00FD04DE">
        <w:tc>
          <w:tcPr>
            <w:tcW w:w="272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产品管理人</w:t>
            </w:r>
          </w:p>
        </w:tc>
        <w:tc>
          <w:tcPr>
            <w:tcW w:w="609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南银理财有限责任公司</w:t>
            </w:r>
          </w:p>
        </w:tc>
      </w:tr>
      <w:tr w:rsidR="00FD04DE">
        <w:tc>
          <w:tcPr>
            <w:tcW w:w="272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产品托管人</w:t>
            </w:r>
          </w:p>
        </w:tc>
        <w:tc>
          <w:tcPr>
            <w:tcW w:w="6094" w:type="dxa"/>
            <w:vAlign w:val="center"/>
          </w:tcPr>
          <w:p w:rsidR="00FD04DE" w:rsidRDefault="0068117A" w:rsidP="00651A79">
            <w:pPr>
              <w:spacing w:beforeLines="20" w:afterLines="20"/>
              <w:jc w:val="left"/>
              <w:rPr>
                <w:rFonts w:ascii="方正仿宋简体" w:eastAsia="方正仿宋简体"/>
                <w:sz w:val="24"/>
                <w:szCs w:val="24"/>
              </w:rPr>
            </w:pPr>
            <w:r>
              <w:rPr>
                <w:rFonts w:ascii="方正仿宋简体" w:eastAsia="方正仿宋简体" w:hint="eastAsia"/>
                <w:sz w:val="24"/>
                <w:szCs w:val="24"/>
              </w:rPr>
              <w:t>南京银行股份有限公司</w:t>
            </w:r>
          </w:p>
        </w:tc>
      </w:tr>
    </w:tbl>
    <w:p w:rsidR="00FD04DE" w:rsidRDefault="00FD04DE" w:rsidP="00651A79">
      <w:pPr>
        <w:spacing w:before="240" w:afterLines="30" w:line="360" w:lineRule="auto"/>
        <w:rPr>
          <w:rFonts w:ascii="方正仿宋简体" w:eastAsia="方正仿宋简体" w:hAnsi="Calibri"/>
          <w:sz w:val="24"/>
          <w:szCs w:val="24"/>
        </w:rPr>
      </w:pPr>
    </w:p>
    <w:p w:rsidR="00FD04DE" w:rsidRDefault="0068117A" w:rsidP="00651A79">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§2  主要财务指标</w:t>
      </w:r>
    </w:p>
    <w:p w:rsidR="00FD04DE" w:rsidRDefault="0068117A" w:rsidP="00651A79">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2.1 主要财务指标</w:t>
      </w:r>
    </w:p>
    <w:p w:rsidR="00FD04DE" w:rsidRDefault="0068117A" w:rsidP="00651A79">
      <w:pPr>
        <w:spacing w:before="240" w:afterLines="30" w:line="360" w:lineRule="auto"/>
        <w:jc w:val="right"/>
        <w:rPr>
          <w:rFonts w:ascii="方正仿宋简体" w:eastAsia="方正仿宋简体" w:cs="宋体"/>
          <w:kern w:val="0"/>
          <w:sz w:val="24"/>
          <w:szCs w:val="24"/>
        </w:rPr>
      </w:pPr>
      <w:r>
        <w:rPr>
          <w:rFonts w:ascii="方正仿宋简体" w:eastAsia="方正仿宋简体" w:cs="宋体" w:hint="eastAsia"/>
          <w:kern w:val="0"/>
          <w:sz w:val="24"/>
          <w:szCs w:val="24"/>
        </w:rPr>
        <w:t>单位：人民币元</w:t>
      </w:r>
    </w:p>
    <w:tbl>
      <w:tblP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271"/>
        <w:gridCol w:w="2693"/>
        <w:gridCol w:w="1563"/>
        <w:gridCol w:w="1556"/>
        <w:gridCol w:w="1819"/>
      </w:tblGrid>
      <w:tr w:rsidR="00FD04DE">
        <w:tc>
          <w:tcPr>
            <w:tcW w:w="1271" w:type="dxa"/>
            <w:vMerge w:val="restart"/>
            <w:vAlign w:val="center"/>
          </w:tcPr>
          <w:p w:rsidR="00FD04DE" w:rsidRDefault="0068117A" w:rsidP="00651A79">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内部销售代码</w:t>
            </w:r>
          </w:p>
        </w:tc>
        <w:tc>
          <w:tcPr>
            <w:tcW w:w="7631" w:type="dxa"/>
            <w:gridSpan w:val="4"/>
            <w:vAlign w:val="center"/>
          </w:tcPr>
          <w:p w:rsidR="00FD04DE" w:rsidRDefault="0068117A" w:rsidP="00651A79">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报告期（2025年01月01日 - 2025年06月30日）</w:t>
            </w:r>
          </w:p>
        </w:tc>
      </w:tr>
      <w:tr w:rsidR="00FD04DE">
        <w:trPr>
          <w:trHeight w:val="835"/>
        </w:trPr>
        <w:tc>
          <w:tcPr>
            <w:tcW w:w="1271" w:type="dxa"/>
            <w:vMerge/>
            <w:vAlign w:val="center"/>
          </w:tcPr>
          <w:p w:rsidR="00FD04DE" w:rsidRDefault="00FD04DE" w:rsidP="00651A79">
            <w:pPr>
              <w:spacing w:beforeLines="20" w:afterLines="20"/>
              <w:jc w:val="center"/>
              <w:rPr>
                <w:rFonts w:ascii="方正仿宋简体" w:eastAsia="方正仿宋简体"/>
                <w:sz w:val="24"/>
                <w:szCs w:val="24"/>
                <w:shd w:val="clear" w:color="auto" w:fill="FFFFFF"/>
              </w:rPr>
            </w:pPr>
          </w:p>
        </w:tc>
        <w:tc>
          <w:tcPr>
            <w:tcW w:w="2693" w:type="dxa"/>
            <w:vAlign w:val="center"/>
          </w:tcPr>
          <w:p w:rsidR="00FD04DE" w:rsidRDefault="0068117A" w:rsidP="00651A79">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1.期末产品最后一个市场交易日资产净值</w:t>
            </w:r>
          </w:p>
        </w:tc>
        <w:tc>
          <w:tcPr>
            <w:tcW w:w="1563" w:type="dxa"/>
            <w:vAlign w:val="center"/>
          </w:tcPr>
          <w:p w:rsidR="00FD04DE" w:rsidRDefault="0068117A" w:rsidP="00651A79">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2.期末产品最后一个市场交易日份额净值</w:t>
            </w:r>
          </w:p>
        </w:tc>
        <w:tc>
          <w:tcPr>
            <w:tcW w:w="1556" w:type="dxa"/>
            <w:vAlign w:val="center"/>
          </w:tcPr>
          <w:p w:rsidR="00FD04DE" w:rsidRDefault="0068117A" w:rsidP="00651A79">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3.期末产品最后一个市场交易日份额累计净值</w:t>
            </w:r>
          </w:p>
        </w:tc>
        <w:tc>
          <w:tcPr>
            <w:tcW w:w="1819" w:type="dxa"/>
            <w:vAlign w:val="center"/>
          </w:tcPr>
          <w:p w:rsidR="00FD04DE" w:rsidRDefault="0068117A" w:rsidP="00651A79">
            <w:pPr>
              <w:spacing w:beforeLines="20" w:afterLines="20"/>
              <w:jc w:val="center"/>
              <w:rPr>
                <w:rFonts w:ascii="方正仿宋简体" w:eastAsia="方正仿宋简体"/>
                <w:sz w:val="24"/>
                <w:szCs w:val="24"/>
                <w:shd w:val="clear" w:color="auto" w:fill="FFFFFF"/>
              </w:rPr>
            </w:pPr>
            <w:r>
              <w:rPr>
                <w:rFonts w:ascii="方正仿宋简体" w:eastAsia="方正仿宋简体" w:hint="eastAsia"/>
                <w:sz w:val="24"/>
                <w:szCs w:val="24"/>
                <w:shd w:val="clear" w:color="auto" w:fill="FFFFFF"/>
              </w:rPr>
              <w:t>4.其它费用</w:t>
            </w: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A20002</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3,375,937,291.52</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restart"/>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27,402.00</w:t>
            </w: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A21002</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205,533,114.20</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A22001</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717,568,058.44</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A22002</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4,724,696,367.39</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A22004</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307,090,711.61</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A22005</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274,819,498.68</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A22006</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14,445,321.32</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A22007</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50,307,267.69</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A22008</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385,410,302.22</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A22009</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9,595,858.82</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A22010</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2,281,557,265.47</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r>
        <w:trPr xsi:nil="true"/>
        <w:tc>
          <w:tcPr>
            <w:tcW w:w="1271"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A22012</w:t>
            </w:r>
          </w:p>
        </w:tc>
        <w:tc>
          <w:tcPr>
            <w:tcW w:w="269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501,679.61</w:t>
            </w:r>
          </w:p>
        </w:tc>
        <w:tc>
          <w:tcPr>
            <w:tcW w:w="1563"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556" w:type="dxa"/>
            <w:vAlign w:val="center"/>
            <w:vAlign w:val="center"/>
          </w:tcPr>
          <w:p>
            <w:pPr>
              <w:spacing w:beforeLines="20" w:afterLines="20"/>
              <w:jc w:val="center"/>
              <w:textAlignment w:val="center"/>
              <w:rPr>
                <w:rFonts w:ascii="方正仿宋简体" w:eastAsia="方正仿宋简体"/>
                <w:sz w:val="24"/>
                <w:szCs w:val="24"/>
                <w:shd w:val="clear" w:color="auto" w:fill="FFFFFF"/>
              </w:rPr>
            </w:pPr>
            <w:r>
              <w:rPr>
                <w:rFonts w:ascii="方正仿宋简体" w:hAnsi="方正仿宋简体" w:cs="方正仿宋简体" w:eastAsia="方正仿宋简体"/>
                <w:sz w:val="24"/>
              </w:rPr>
              <w:t>1.0000</w:t>
            </w:r>
          </w:p>
        </w:tc>
        <w:tc>
          <w:tcPr>
            <w:tcW w:w="1819" w:type="dxa"/>
            <w:vMerge w:val="continue"/>
            <w:vAlign w:val="center"/>
            <w:vAlign w:val="center"/>
          </w:tcPr>
          <w:p>
            <w:pPr>
              <w:spacing w:beforeLines="20" w:afterLines="20"/>
              <w:jc w:val="center"/>
              <w:textAlignment w:val="center"/>
              <w:rPr>
                <w:rFonts w:ascii="方正仿宋简体" w:eastAsia="方正仿宋简体"/>
                <w:sz w:val="24"/>
                <w:szCs w:val="24"/>
                <w:shd w:val="clear" w:color="auto" w:fill="FFFFFF"/>
              </w:rPr>
            </w:pPr>
          </w:p>
        </w:tc>
      </w:tr>
    </w:tbl>
    <w:p w:rsidR="00FD04DE" w:rsidRDefault="0068117A" w:rsidP="00651A79">
      <w:pPr>
        <w:spacing w:before="240" w:afterLines="30" w:line="360" w:lineRule="auto"/>
        <w:rPr>
          <w:rFonts w:ascii="方正仿宋简体" w:eastAsia="方正仿宋简体"/>
          <w:sz w:val="24"/>
          <w:szCs w:val="24"/>
        </w:rPr>
      </w:pPr>
      <w:r>
        <w:rPr>
          <w:rFonts w:ascii="方正仿宋简体" w:eastAsia="方正仿宋简体" w:hint="eastAsia"/>
          <w:sz w:val="24"/>
          <w:szCs w:val="24"/>
        </w:rPr>
        <w:t>注：产品净值可能存在未扣除管理人及投资合作机构业绩报酬、赎回费等费用（如有）</w:t>
      </w:r>
      <w:r>
        <w:rPr>
          <w:rFonts w:ascii="方正仿宋简体" w:eastAsia="方正仿宋简体" w:hint="eastAsia"/>
          <w:sz w:val="24"/>
          <w:szCs w:val="24"/>
        </w:rPr>
        <w:lastRenderedPageBreak/>
        <w:t>的情况，实际收益以兑付为准。</w:t>
      </w:r>
    </w:p>
    <w:p w:rsidR="00FD04DE" w:rsidRDefault="00FD04DE" w:rsidP="00651A79">
      <w:pPr>
        <w:spacing w:before="240" w:afterLines="30" w:line="360" w:lineRule="auto"/>
        <w:rPr>
          <w:rFonts w:ascii="方正仿宋简体" w:eastAsia="方正仿宋简体" w:hAnsi="宋体" w:cs="宋体"/>
          <w:kern w:val="0"/>
          <w:sz w:val="24"/>
          <w:szCs w:val="24"/>
        </w:rPr>
      </w:pPr>
    </w:p>
    <w:p w:rsidR="00FD04DE" w:rsidRDefault="0068117A" w:rsidP="00651A79">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§3  管理人报告</w:t>
      </w:r>
    </w:p>
    <w:p w:rsidR="00FD04DE" w:rsidRDefault="0068117A" w:rsidP="00651A79">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3.1 报告期内产品的投资策略和运作分析</w:t>
      </w:r>
    </w:p>
    <w:p w:rsidR="00FD04DE" w:rsidRDefault="0068117A" w:rsidP="00651A79">
      <w:pPr>
        <w:spacing w:before="240" w:afterLines="30" w:line="360" w:lineRule="auto"/>
        <w:rPr>
          <w:rFonts w:ascii="方正仿宋简体" w:eastAsia="方正仿宋简体"/>
          <w:sz w:val="24"/>
          <w:szCs w:val="24"/>
        </w:rPr>
      </w:pPr>
      <w:r>
        <w:rPr>
          <w:rFonts w:ascii="方正仿宋简体" w:eastAsia="方正仿宋简体" w:hint="eastAsia"/>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ascii="方正仿宋简体" w:eastAsia="方正仿宋简体" w:hint="eastAsia"/>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ascii="方正仿宋简体" w:eastAsia="方正仿宋简体" w:hint="eastAsia"/>
          <w:sz w:val="24"/>
          <w:szCs w:val="24"/>
        </w:rPr>
        <w:t>  操作方面，产品延续了稳健的投资风格，积极加大对存款、存单和高等级信用债等高流动性资产的配置力度，不断优化资产结构。未来将继续在保证流动性安全、守住信用风险底线的基础上，强化资产获取能力，为客户提供稳定的收益回报，提升客户体验。</w:t>
      </w:r>
      <w:r>
        <w:rPr>
          <w:rFonts w:ascii="方正仿宋简体" w:eastAsia="方正仿宋简体" w:hint="eastAsia"/>
          <w:sz w:val="24"/>
          <w:szCs w:val="24"/>
        </w:rPr>
        <w:t/>
      </w:r>
    </w:p>
    <w:p w:rsidR="00FD04DE" w:rsidRDefault="0068117A" w:rsidP="00651A79">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3.2 报告期内产品的流动性风险分析</w:t>
      </w:r>
    </w:p>
    <w:p w:rsidR="00FD04DE" w:rsidRDefault="0068117A" w:rsidP="00651A79">
      <w:pPr>
        <w:spacing w:before="240" w:afterLines="30" w:line="360" w:lineRule="auto"/>
        <w:rPr>
          <w:rFonts w:ascii="方正仿宋简体" w:eastAsia="方正仿宋简体"/>
          <w:sz w:val="24"/>
          <w:szCs w:val="24"/>
        </w:rPr>
      </w:pPr>
      <w:r>
        <w:rPr>
          <w:rFonts w:ascii="方正仿宋简体" w:eastAsia="方正仿宋简体" w:hint="eastAsia"/>
          <w:sz w:val="24"/>
          <w:szCs w:val="24"/>
        </w:rPr>
        <w:t>  下阶段产品将继续保持稳健的投资风格，在风险可控的前提下灵活运用杠杆。同时关注市场各关键时点资金波动情况，做好流动性预判和资产到期分布安排，提前做好应对方案，防范流动性风险。</w:t>
      </w:r>
    </w:p>
    <w:p w:rsidR="00FD04DE" w:rsidRDefault="0068117A" w:rsidP="00651A79">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3.3 报告期内产品的业绩表现</w:t>
      </w:r>
    </w:p>
    <w:p w:rsidR="00FD04DE" w:rsidRDefault="0068117A" w:rsidP="00651A79">
      <w:pPr>
        <w:spacing w:before="240" w:afterLines="30" w:line="360" w:lineRule="auto"/>
        <w:ind w:firstLineChars="200" w:firstLine="480"/>
        <w:rPr>
          <w:rFonts w:ascii="方正仿宋简体" w:eastAsia="方正仿宋简体"/>
          <w:sz w:val="24"/>
          <w:szCs w:val="24"/>
        </w:rPr>
      </w:pPr>
      <w:r>
        <w:rPr>
          <w:rFonts w:ascii="方正仿宋简体" w:eastAsia="方正仿宋简体" w:hint="eastAsia"/>
          <w:sz w:val="24"/>
          <w:szCs w:val="24"/>
        </w:rPr>
        <w:t>截至报告期末，本产品A20002份额净值为1.0000元，A21002份额净值为1.0000元，A22001份额净值为1.0000元，A22002份额净值为1.0000元，A22004份额净值为1.0000元，A22005份额净值为1.0000元，A22006份额净值为1.0000元，A22007份额净值为1.0000元，A22008份额净值为1.0000元，A22009份额净值为1.0000元，A22010份额净值为1.0000元，A22012份额净值为1.0000元。</w:t>
      </w:r>
    </w:p>
    <w:p w:rsidR="00FD04DE" w:rsidRDefault="00FD04DE" w:rsidP="00651A79">
      <w:pPr>
        <w:spacing w:before="240" w:afterLines="30" w:line="360" w:lineRule="auto"/>
        <w:rPr>
          <w:rFonts w:ascii="方正仿宋简体" w:eastAsia="方正仿宋简体" w:hAnsi="宋体" w:cs="宋体"/>
          <w:kern w:val="0"/>
          <w:sz w:val="24"/>
          <w:szCs w:val="24"/>
        </w:rPr>
      </w:pPr>
    </w:p>
    <w:p w:rsidR="00FD04DE" w:rsidRDefault="0068117A" w:rsidP="00651A79">
      <w:pPr>
        <w:spacing w:before="240" w:afterLines="30" w:line="360" w:lineRule="auto"/>
        <w:jc w:val="center"/>
        <w:rPr>
          <w:rFonts w:ascii="方正仿宋简体" w:eastAsia="方正仿宋简体" w:hAnsi="Calibri"/>
          <w:b/>
          <w:sz w:val="24"/>
          <w:szCs w:val="24"/>
        </w:rPr>
      </w:pPr>
      <w:r>
        <w:rPr>
          <w:rFonts w:ascii="方正仿宋简体" w:eastAsia="方正仿宋简体" w:hAnsi="Calibri" w:hint="eastAsia"/>
          <w:b/>
          <w:sz w:val="24"/>
          <w:szCs w:val="24"/>
        </w:rPr>
        <w:t>§4  托管人报告</w:t>
      </w:r>
    </w:p>
    <w:p w:rsidR="00FD04DE" w:rsidRDefault="0068117A" w:rsidP="00651A79">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4.1报告期内托管人遵规守信情况声明</w:t>
      </w:r>
    </w:p>
    <w:p w:rsidR="00FD04DE" w:rsidRDefault="0068117A" w:rsidP="00651A79">
      <w:pPr>
        <w:spacing w:before="240" w:afterLines="30" w:line="360" w:lineRule="auto"/>
        <w:rPr>
          <w:rFonts w:ascii="方正仿宋简体" w:eastAsia="方正仿宋简体"/>
          <w:sz w:val="24"/>
          <w:szCs w:val="24"/>
        </w:rPr>
      </w:pPr>
      <w:r>
        <w:rPr>
          <w:rFonts w:ascii="方正仿宋简体" w:eastAsia="方正仿宋简体" w:hint="eastAsia"/>
          <w:sz w:val="24"/>
          <w:szCs w:val="24"/>
        </w:rPr>
        <w:t>  在托管本产品的过程中，本产品托管人南京银行股份有限公司严格遵守《商业银行理财子公司管理办法》相关法律法规的规定以及产品说明书的约定，对本产品管理人在报告期内产品的投资运作进行了认真、独立的会计核算和必要的投资监督，认真履行了托管人的义务，没有从事任何损害产品份额持有人利益的行为。</w:t>
      </w:r>
    </w:p>
    <w:p w:rsidR="00FD04DE" w:rsidRDefault="0068117A" w:rsidP="00651A79">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4.2 托管人对报告期内投资运作遵规守信、净值计算、利润分配等情况的说明</w:t>
      </w:r>
    </w:p>
    <w:p w:rsidR="00FD04DE" w:rsidRDefault="0068117A" w:rsidP="00651A79">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在本产品的投资运作、产品资产净值的计算、产品份额申购赎回价格的计算、产品费用开支及利润分配等问题上不存在损害产品份额持有人利益的行为；在报告期内，严格遵守了有关法律法规，在各重要方面的运作严格按照托管协议和理财产品说明书的规定进行。</w:t>
      </w:r>
    </w:p>
    <w:p w:rsidR="00FD04DE" w:rsidRDefault="0068117A" w:rsidP="00651A79">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4.3 托管人对本报告期内报告中财务信息等内容的真实、准确和完整发表意见</w:t>
      </w:r>
    </w:p>
    <w:p w:rsidR="00FD04DE" w:rsidRDefault="0068117A" w:rsidP="00651A79">
      <w:pPr>
        <w:spacing w:before="240" w:afterLines="30" w:line="360" w:lineRule="auto"/>
        <w:rPr>
          <w:rFonts w:ascii="方正仿宋简体" w:eastAsia="方正仿宋简体"/>
          <w:sz w:val="24"/>
          <w:szCs w:val="24"/>
        </w:rPr>
      </w:pPr>
      <w:r>
        <w:rPr>
          <w:rFonts w:ascii="方正仿宋简体" w:eastAsia="方正仿宋简体" w:hint="eastAsia"/>
          <w:sz w:val="24"/>
          <w:szCs w:val="24"/>
        </w:rPr>
        <w:t>  本托管人认为，管理人的信息披露事务符合《商业银行理财子公司管理办法》及其他相关法律法规的规定，产品管理人所编制和披露的本产品报告中的财务指标、净值表现等信息真实、准确、完整，未发现有损害产品持有人利益的行为。</w:t>
      </w:r>
    </w:p>
    <w:p w:rsidR="00FD04DE" w:rsidRDefault="00FD04DE" w:rsidP="00651A79">
      <w:pPr>
        <w:spacing w:before="240" w:afterLines="30" w:line="360" w:lineRule="auto"/>
        <w:rPr>
          <w:rFonts w:ascii="方正仿宋简体" w:eastAsia="方正仿宋简体"/>
          <w:sz w:val="24"/>
          <w:szCs w:val="24"/>
        </w:rPr>
      </w:pPr>
    </w:p>
    <w:p w:rsidR="00FD04DE" w:rsidRDefault="0068117A" w:rsidP="00651A79">
      <w:pPr>
        <w:spacing w:before="240" w:afterLines="30" w:line="360" w:lineRule="auto"/>
        <w:jc w:val="center"/>
        <w:rPr>
          <w:rFonts w:ascii="方正仿宋简体" w:eastAsia="方正仿宋简体"/>
          <w:b/>
          <w:sz w:val="24"/>
          <w:szCs w:val="24"/>
        </w:rPr>
      </w:pPr>
      <w:r>
        <w:rPr>
          <w:rFonts w:ascii="方正仿宋简体" w:eastAsia="方正仿宋简体" w:hAnsi="Calibri" w:hint="eastAsia"/>
          <w:b/>
          <w:sz w:val="24"/>
          <w:szCs w:val="24"/>
        </w:rPr>
        <w:t>§5  投资组合报告</w:t>
      </w:r>
    </w:p>
    <w:p w:rsidR="00FD04DE" w:rsidRDefault="0068117A" w:rsidP="00651A79">
      <w:pPr>
        <w:spacing w:before="240" w:afterLines="30" w:line="360" w:lineRule="auto"/>
        <w:rPr>
          <w:rFonts w:ascii="方正仿宋简体" w:eastAsia="方正仿宋简体"/>
          <w:b/>
          <w:sz w:val="24"/>
          <w:szCs w:val="24"/>
        </w:rPr>
      </w:pPr>
      <w:r>
        <w:rPr>
          <w:rFonts w:ascii="方正仿宋简体" w:eastAsia="方正仿宋简体" w:hint="eastAsia"/>
          <w:b/>
          <w:sz w:val="24"/>
          <w:szCs w:val="24"/>
        </w:rPr>
        <w:t>5.1 报告期末产品资产组合情况</w:t>
      </w:r>
    </w:p>
    <w:tbl>
      <w:tblP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45"/>
        <w:gridCol w:w="1861"/>
        <w:gridCol w:w="3004"/>
        <w:gridCol w:w="3292"/>
      </w:tblGrid>
      <w:tr w:rsidR="00FD04DE">
        <w:trPr>
          <w:jc w:val="center"/>
        </w:trPr>
        <w:tc>
          <w:tcPr>
            <w:tcW w:w="745"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861"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资产类别</w:t>
            </w:r>
          </w:p>
        </w:tc>
        <w:tc>
          <w:tcPr>
            <w:tcW w:w="3004"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穿透前占总资产比例</w:t>
            </w:r>
          </w:p>
        </w:tc>
        <w:tc>
          <w:tcPr>
            <w:tcW w:w="329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穿透后占总资产比例</w:t>
            </w:r>
          </w:p>
        </w:tc>
      </w:tr>
      <w:tr w:rsidR="00FD04DE">
        <w:trPr>
          <w:jc w:val="center"/>
        </w:trPr>
        <w:tc>
          <w:tcPr>
            <w:tcW w:w="745"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w:t>
            </w:r>
          </w:p>
        </w:tc>
        <w:tc>
          <w:tcPr>
            <w:tcW w:w="1861"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固定收益类</w:t>
            </w:r>
          </w:p>
        </w:tc>
        <w:tc>
          <w:tcPr>
            <w:tcW w:w="3004"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c>
          <w:tcPr>
            <w:tcW w:w="329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r>
              <w:rPr>
                <w:rFonts w:ascii="方正仿宋简体" w:eastAsia="方正仿宋简体" w:hAnsiTheme="minorEastAsia"/>
                <w:sz w:val="24"/>
                <w:szCs w:val="24"/>
              </w:rPr>
              <w:t>%</w:t>
            </w:r>
          </w:p>
        </w:tc>
      </w:tr>
      <w:tr w:rsidR="00FD04DE">
        <w:trPr>
          <w:jc w:val="center"/>
        </w:trPr>
        <w:tc>
          <w:tcPr>
            <w:tcW w:w="745"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2</w:t>
            </w:r>
          </w:p>
        </w:tc>
        <w:tc>
          <w:tcPr>
            <w:tcW w:w="1861"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权益类</w:t>
            </w:r>
          </w:p>
        </w:tc>
        <w:tc>
          <w:tcPr>
            <w:tcW w:w="3004"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FD04DE">
        <w:trPr>
          <w:jc w:val="center"/>
        </w:trPr>
        <w:tc>
          <w:tcPr>
            <w:tcW w:w="745"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3</w:t>
            </w:r>
          </w:p>
        </w:tc>
        <w:tc>
          <w:tcPr>
            <w:tcW w:w="1861"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商品及金融衍生品类</w:t>
            </w:r>
          </w:p>
        </w:tc>
        <w:tc>
          <w:tcPr>
            <w:tcW w:w="3004"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FD04DE">
        <w:trPr>
          <w:jc w:val="center"/>
        </w:trPr>
        <w:tc>
          <w:tcPr>
            <w:tcW w:w="745"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4</w:t>
            </w:r>
          </w:p>
        </w:tc>
        <w:tc>
          <w:tcPr>
            <w:tcW w:w="1861"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混合类</w:t>
            </w:r>
          </w:p>
        </w:tc>
        <w:tc>
          <w:tcPr>
            <w:tcW w:w="3004"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c>
          <w:tcPr>
            <w:tcW w:w="329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0.00</w:t>
            </w:r>
            <w:r>
              <w:rPr>
                <w:rFonts w:ascii="方正仿宋简体" w:eastAsia="方正仿宋简体" w:hAnsiTheme="minorEastAsia"/>
                <w:sz w:val="24"/>
                <w:szCs w:val="24"/>
              </w:rPr>
              <w:t>%</w:t>
            </w:r>
          </w:p>
        </w:tc>
      </w:tr>
      <w:tr w:rsidR="00FD04DE">
        <w:trPr>
          <w:jc w:val="center"/>
        </w:trPr>
        <w:tc>
          <w:tcPr>
            <w:tcW w:w="745" w:type="dxa"/>
            <w:vAlign w:val="bottom"/>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5</w:t>
            </w:r>
          </w:p>
        </w:tc>
        <w:tc>
          <w:tcPr>
            <w:tcW w:w="1861"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合计</w:t>
            </w:r>
          </w:p>
        </w:tc>
        <w:tc>
          <w:tcPr>
            <w:tcW w:w="3004"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c>
          <w:tcPr>
            <w:tcW w:w="329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100.00%</w:t>
            </w:r>
          </w:p>
        </w:tc>
      </w:tr>
    </w:tbl>
    <w:p w:rsidR="00FD04DE" w:rsidRDefault="00FD04DE" w:rsidP="00651A79">
      <w:pPr>
        <w:spacing w:before="240" w:afterLines="30" w:line="360" w:lineRule="auto"/>
        <w:rPr>
          <w:rFonts w:ascii="方正仿宋简体" w:eastAsia="方正仿宋简体" w:cs="宋体"/>
          <w:kern w:val="0"/>
          <w:sz w:val="24"/>
          <w:szCs w:val="24"/>
        </w:rPr>
      </w:pPr>
    </w:p>
    <w:p w:rsidR="00FD04DE" w:rsidRDefault="0068117A" w:rsidP="00651A79">
      <w:pPr>
        <w:spacing w:before="240" w:afterLines="30" w:line="360" w:lineRule="auto"/>
        <w:rPr>
          <w:rFonts w:ascii="方正仿宋简体" w:eastAsia="方正仿宋简体"/>
          <w:b/>
          <w:sz w:val="24"/>
          <w:szCs w:val="24"/>
          <w:shd w:val="clear" w:color="auto" w:fill="FFFFFF"/>
        </w:rPr>
      </w:pPr>
      <w:r>
        <w:rPr>
          <w:rFonts w:ascii="方正仿宋简体" w:eastAsia="方正仿宋简体" w:hint="eastAsia"/>
          <w:b/>
          <w:sz w:val="24"/>
          <w:szCs w:val="24"/>
        </w:rPr>
        <w:t>5.2 报告期末按公允价值占产品资产净值比例大小排序的前十名资产投资明细</w:t>
      </w:r>
    </w:p>
    <w:tbl>
      <w:tblP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62"/>
        <w:gridCol w:w="1575"/>
        <w:gridCol w:w="2721"/>
        <w:gridCol w:w="2059"/>
        <w:gridCol w:w="1785"/>
      </w:tblGrid>
      <w:tr w:rsidR="00FD04DE">
        <w:trPr>
          <w:trHeight w:val="870"/>
          <w:jc w:val="center"/>
        </w:trPr>
        <w:tc>
          <w:tcPr>
            <w:tcW w:w="76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575"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代码</w:t>
            </w:r>
          </w:p>
        </w:tc>
        <w:tc>
          <w:tcPr>
            <w:tcW w:w="2721"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名称</w:t>
            </w:r>
          </w:p>
        </w:tc>
        <w:tc>
          <w:tcPr>
            <w:tcW w:w="2059"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公允价值(元)</w:t>
            </w:r>
          </w:p>
        </w:tc>
        <w:tc>
          <w:tcPr>
            <w:tcW w:w="1785"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占产品资产净值比例（％）</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ZJQTT202309130003</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华润信托鑫瑞日享3号集合资金信托计划</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1,108,407,939.28</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8.98</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DQCKX202501090001</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恒丰银行定期存款20250109A</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600,000,000.00</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4.86</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ZJQTT202406170001</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中诚信托-日日升4号集合资金信托计划</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563,751,271.04</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4.57</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ZJQTT202305230001</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华润信托鑫瑞日享1号集合资金信托计划</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548,317,512.72</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4.44</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ZJQTT202409040002</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陆家嘴信托-陆享17号集合资金信托计划</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508,131,536.54</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4.12</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XJCKX202211030001</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建设银行南京分行活期存款</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490,000,000.00</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3.97</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DQCKX202501090021</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恒丰银行定期存款20250109B</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400,000,000.00</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3.24</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XJCKX202303220001</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工商银行苏州分行活期存款</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317,154,703.46</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2.57</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DQCKX202412270023</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浙商银行定期存款20241227D</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300,000,000.00</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2.43</w:t>
            </w:r>
          </w:p>
        </w:tc>
      </w:tr>
      <w:tr>
        <w:trPr>
          <w:trHeight w:val="300"/>
          <w:jc w:val="center"/>
        </w:trPr>
        <w:tc>
          <w:tcPr>
            <w:tcW w:w="762" w:type="dxa"/>
            <w:shd w:val="clear" w:color="auto" w:fill="auto"/>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w:t>
            </w:r>
          </w:p>
        </w:tc>
        <w:tc>
          <w:tcPr>
            <w:tcW w:w="1575" w:type="dxa"/>
            <w:shd w:val="clear" w:color="auto" w:fill="auto"/>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DQCKX202502200003</w:t>
            </w:r>
          </w:p>
        </w:tc>
        <w:tc>
          <w:tcPr>
            <w:tcW w:w="2721"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杭州银行定期存款20250220</w:t>
            </w:r>
          </w:p>
        </w:tc>
        <w:tc>
          <w:tcPr>
            <w:tcW w:w="2059"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200,000,000.00</w:t>
            </w:r>
          </w:p>
        </w:tc>
        <w:tc>
          <w:tcPr>
            <w:tcW w:w="1785" w:type="dxa"/>
            <w:shd w:val="clear" w:color="000000" w:fill="FFFFFF"/>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1.62</w:t>
            </w:r>
          </w:p>
        </w:tc>
      </w:tr>
    </w:tbl>
    <w:p w:rsidR="00FD04DE" w:rsidRDefault="00FD04DE" w:rsidP="00651A79">
      <w:pPr>
        <w:spacing w:before="240" w:afterLines="30" w:line="360" w:lineRule="auto"/>
        <w:rPr>
          <w:rFonts w:ascii="方正仿宋简体" w:eastAsia="方正仿宋简体" w:hAnsi="宋体" w:cs="宋体"/>
          <w:sz w:val="24"/>
          <w:szCs w:val="24"/>
          <w:shd w:val="clear" w:color="auto" w:fill="FFFFFF"/>
        </w:rPr>
      </w:pPr>
    </w:p>
    <w:p w:rsidR="00FD04DE" w:rsidRDefault="0068117A" w:rsidP="00651A79">
      <w:pPr>
        <w:spacing w:before="240" w:afterLines="30" w:line="360" w:lineRule="auto"/>
        <w:rPr>
          <w:rFonts w:ascii="方正仿宋简体" w:eastAsia="方正仿宋简体" w:hAnsi="宋体" w:cs="宋体"/>
          <w:b/>
          <w:sz w:val="24"/>
          <w:szCs w:val="24"/>
          <w:shd w:val="clear" w:color="auto" w:fill="FFFFFF"/>
        </w:rPr>
      </w:pPr>
      <w:r>
        <w:rPr>
          <w:rFonts w:ascii="方正仿宋简体" w:eastAsia="方正仿宋简体" w:hAnsi="宋体" w:cs="宋体" w:hint="eastAsia"/>
          <w:b/>
          <w:sz w:val="24"/>
          <w:szCs w:val="24"/>
          <w:shd w:val="clear" w:color="auto" w:fill="FFFFFF"/>
        </w:rPr>
        <w:t>5.3报告期末非标准化债权类资产明细</w:t>
      </w:r>
    </w:p>
    <w:tbl>
      <w:tblP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7"/>
        <w:gridCol w:w="1272"/>
        <w:gridCol w:w="1695"/>
        <w:gridCol w:w="1412"/>
        <w:gridCol w:w="1695"/>
        <w:gridCol w:w="1272"/>
        <w:gridCol w:w="849"/>
      </w:tblGrid>
      <w:tr w:rsidR="00FD04DE">
        <w:trPr>
          <w:jc w:val="center"/>
        </w:trPr>
        <w:tc>
          <w:tcPr>
            <w:tcW w:w="707"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lastRenderedPageBreak/>
              <w:t>序号</w:t>
            </w:r>
          </w:p>
        </w:tc>
        <w:tc>
          <w:tcPr>
            <w:tcW w:w="127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融资客户</w:t>
            </w:r>
          </w:p>
        </w:tc>
        <w:tc>
          <w:tcPr>
            <w:tcW w:w="1695"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项目名称</w:t>
            </w:r>
          </w:p>
        </w:tc>
        <w:tc>
          <w:tcPr>
            <w:tcW w:w="141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剩余融资期限</w:t>
            </w:r>
          </w:p>
        </w:tc>
        <w:tc>
          <w:tcPr>
            <w:tcW w:w="1695"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到期收益分配</w:t>
            </w:r>
          </w:p>
        </w:tc>
        <w:tc>
          <w:tcPr>
            <w:tcW w:w="1272"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交易结构</w:t>
            </w:r>
          </w:p>
        </w:tc>
        <w:tc>
          <w:tcPr>
            <w:tcW w:w="849"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风险状况</w:t>
            </w:r>
          </w:p>
        </w:tc>
      </w:tr>
      <w:tr>
        <w:trPr>
          <w:jc w:val="center"/>
        </w:trPr>
        <w:tc>
          <w:tcPr>
            <w:tcW w:w="707"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41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695"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1272"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c>
          <w:tcPr>
            <w:tcW w:w="84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w:t>
            </w:r>
          </w:p>
        </w:tc>
      </w:tr>
    </w:tbl>
    <w:p w:rsidR="00FD04DE" w:rsidRDefault="00FD04DE" w:rsidP="00651A79">
      <w:pPr>
        <w:spacing w:before="240" w:afterLines="30" w:line="360" w:lineRule="auto"/>
        <w:rPr>
          <w:rFonts w:ascii="方正仿宋简体" w:eastAsia="方正仿宋简体" w:hAnsi="宋体" w:cs="宋体"/>
          <w:kern w:val="0"/>
          <w:sz w:val="24"/>
          <w:szCs w:val="24"/>
        </w:rPr>
      </w:pPr>
    </w:p>
    <w:p w:rsidR="00FD04DE" w:rsidRDefault="0068117A" w:rsidP="00651A79">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§6投资账户信息</w:t>
      </w:r>
    </w:p>
    <w:tbl>
      <w:tblP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704"/>
        <w:gridCol w:w="1559"/>
        <w:gridCol w:w="2671"/>
        <w:gridCol w:w="1984"/>
        <w:gridCol w:w="1984"/>
      </w:tblGrid>
      <w:tr w:rsidR="00FD04DE">
        <w:trPr>
          <w:trHeight w:val="705"/>
          <w:jc w:val="center"/>
        </w:trPr>
        <w:tc>
          <w:tcPr>
            <w:tcW w:w="704"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559"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账户类型</w:t>
            </w:r>
          </w:p>
        </w:tc>
        <w:tc>
          <w:tcPr>
            <w:tcW w:w="2671"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账号</w:t>
            </w:r>
          </w:p>
        </w:tc>
        <w:tc>
          <w:tcPr>
            <w:tcW w:w="1984"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账户名称</w:t>
            </w:r>
          </w:p>
        </w:tc>
        <w:tc>
          <w:tcPr>
            <w:tcW w:w="1984"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开户单位</w:t>
            </w:r>
          </w:p>
        </w:tc>
      </w:tr>
      <w:tr>
        <w:trPr>
          <w:trHeight w:val="364"/>
          <w:jc w:val="center"/>
        </w:trPr>
        <w:tc>
          <w:tcPr>
            <w:tcW w:w="70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托管账户</w:t>
            </w:r>
          </w:p>
        </w:tc>
        <w:tc>
          <w:tcPr>
            <w:tcW w:w="267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0120080000000329</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南京银行日日聚宝</w:t>
            </w:r>
          </w:p>
        </w:tc>
        <w:tc>
          <w:tcPr>
            <w:tcW w:w="1984"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南京银行</w:t>
            </w:r>
          </w:p>
        </w:tc>
      </w:tr>
    </w:tbl>
    <w:p w:rsidR="00FD04DE" w:rsidRDefault="00FD04DE" w:rsidP="00651A79">
      <w:pPr>
        <w:spacing w:before="240" w:afterLines="30" w:line="360" w:lineRule="auto"/>
        <w:rPr>
          <w:rFonts w:ascii="方正仿宋简体" w:eastAsia="方正仿宋简体"/>
          <w:sz w:val="24"/>
          <w:szCs w:val="24"/>
        </w:rPr>
      </w:pPr>
    </w:p>
    <w:p w:rsidR="00FD04DE" w:rsidRDefault="0068117A" w:rsidP="00651A79">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§7 关联交易情况</w:t>
      </w:r>
    </w:p>
    <w:p w:rsidR="00FD04DE" w:rsidRDefault="0068117A" w:rsidP="00651A79">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报告期内，产品投资于关联方发行的证券</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89,437,042.36</w:t>
      </w:r>
      <w:r>
        <w:rPr>
          <w:rFonts w:ascii="方正仿宋简体" w:eastAsia="方正仿宋简体" w:hAnsi="宋体" w:cs="宋体" w:hint="eastAsia"/>
          <w:color w:val="000000"/>
          <w:kern w:val="0"/>
          <w:sz w:val="24"/>
          <w:szCs w:val="24"/>
        </w:rPr>
        <w:t>元。</w:t>
      </w:r>
    </w:p>
    <w:p w:rsidR="00FD04DE" w:rsidRDefault="0068117A" w:rsidP="00651A79">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产品投资于关联方作为融资人的非标准化债权类资产业务交易金额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FD04DE" w:rsidRDefault="0068117A" w:rsidP="00651A79">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产品投资于关联方承销的证券交易金额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240,771,173.15</w:t>
      </w:r>
      <w:r>
        <w:rPr>
          <w:rFonts w:ascii="方正仿宋简体" w:eastAsia="方正仿宋简体" w:hAnsi="宋体" w:cs="宋体" w:hint="eastAsia"/>
          <w:color w:val="000000"/>
          <w:kern w:val="0"/>
          <w:sz w:val="24"/>
          <w:szCs w:val="24"/>
        </w:rPr>
        <w:t>元。</w:t>
      </w:r>
    </w:p>
    <w:p w:rsidR="00FD04DE" w:rsidRDefault="0068117A" w:rsidP="00651A79">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产品与关联方作为交易对手开展的投融资业务交易金额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710,150,000.00</w:t>
      </w:r>
      <w:r>
        <w:rPr>
          <w:rFonts w:ascii="方正仿宋简体" w:eastAsia="方正仿宋简体" w:hAnsi="宋体" w:cs="宋体" w:hint="eastAsia"/>
          <w:color w:val="000000"/>
          <w:kern w:val="0"/>
          <w:sz w:val="24"/>
          <w:szCs w:val="24"/>
        </w:rPr>
        <w:t>元。</w:t>
      </w:r>
    </w:p>
    <w:p w:rsidR="00FD04DE" w:rsidRDefault="0068117A" w:rsidP="00651A79">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产品投资关联方作为管理人的资产管理产品交易金额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FD04DE" w:rsidRDefault="00E340F5" w:rsidP="00651A79">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lastRenderedPageBreak/>
        <w:t>产品</w:t>
      </w:r>
      <w:r w:rsidR="0068117A">
        <w:rPr>
          <w:rFonts w:ascii="方正仿宋简体" w:eastAsia="方正仿宋简体" w:hAnsi="宋体" w:cs="宋体" w:hint="eastAsia"/>
          <w:color w:val="000000"/>
          <w:kern w:val="0"/>
          <w:sz w:val="24"/>
          <w:szCs w:val="24"/>
        </w:rPr>
        <w:t>支付关联方托管费</w:t>
      </w:r>
      <w:r w:rsidR="0068117A">
        <w:rPr>
          <w:rFonts w:ascii="方正仿宋简体" w:eastAsia="方正仿宋简体" w:hAnsi="宋体" w:cs="宋体"/>
          <w:color w:val="000000"/>
          <w:kern w:val="0"/>
          <w:sz w:val="24"/>
          <w:szCs w:val="24"/>
        </w:rPr>
        <w:t/>
      </w:r>
      <w:r w:rsidR="0068117A">
        <w:rPr>
          <w:rFonts w:ascii="方正仿宋简体" w:eastAsia="方正仿宋简体" w:hAnsi="宋体" w:cs="宋体" w:hint="eastAsia"/>
          <w:color w:val="000000"/>
          <w:kern w:val="0"/>
          <w:sz w:val="24"/>
          <w:szCs w:val="24"/>
        </w:rPr>
        <w:t/>
      </w:r>
      <w:r w:rsidR="0068117A">
        <w:rPr>
          <w:rFonts w:ascii="方正仿宋简体" w:eastAsia="方正仿宋简体" w:hAnsi="宋体" w:cs="宋体"/>
          <w:color w:val="000000"/>
          <w:kern w:val="0"/>
          <w:sz w:val="24"/>
          <w:szCs w:val="24"/>
        </w:rPr>
        <w:t>1,140,764.15</w:t>
      </w:r>
      <w:r>
        <w:rPr>
          <w:rFonts w:ascii="方正仿宋简体" w:eastAsia="方正仿宋简体" w:hAnsi="宋体" w:cs="宋体" w:hint="eastAsia"/>
          <w:color w:val="000000"/>
          <w:kern w:val="0"/>
          <w:sz w:val="24"/>
          <w:szCs w:val="24"/>
        </w:rPr>
        <w:t>元，</w:t>
      </w:r>
      <w:r w:rsidR="0068117A">
        <w:rPr>
          <w:rFonts w:ascii="方正仿宋简体" w:eastAsia="方正仿宋简体" w:hAnsi="宋体" w:cs="宋体" w:hint="eastAsia"/>
          <w:color w:val="000000"/>
          <w:kern w:val="0"/>
          <w:sz w:val="24"/>
          <w:szCs w:val="24"/>
        </w:rPr>
        <w:t>支付关联方代销费</w:t>
      </w:r>
      <w:r w:rsidR="0068117A">
        <w:rPr>
          <w:rFonts w:ascii="方正仿宋简体" w:eastAsia="方正仿宋简体" w:hAnsi="宋体" w:cs="宋体"/>
          <w:color w:val="000000"/>
          <w:kern w:val="0"/>
          <w:sz w:val="24"/>
          <w:szCs w:val="24"/>
        </w:rPr>
        <w:t/>
      </w:r>
      <w:r w:rsidR="0068117A">
        <w:rPr>
          <w:rFonts w:ascii="方正仿宋简体" w:eastAsia="方正仿宋简体" w:hAnsi="宋体" w:cs="宋体" w:hint="eastAsia"/>
          <w:color w:val="000000"/>
          <w:kern w:val="0"/>
          <w:sz w:val="24"/>
          <w:szCs w:val="24"/>
        </w:rPr>
        <w:t/>
      </w:r>
      <w:r w:rsidR="0068117A">
        <w:rPr>
          <w:rFonts w:ascii="方正仿宋简体" w:eastAsia="方正仿宋简体" w:hAnsi="宋体" w:cs="宋体"/>
          <w:color w:val="000000"/>
          <w:kern w:val="0"/>
          <w:sz w:val="24"/>
          <w:szCs w:val="24"/>
        </w:rPr>
        <w:t>4,049,708.15</w:t>
      </w:r>
      <w:r w:rsidR="0068117A">
        <w:rPr>
          <w:rFonts w:ascii="方正仿宋简体" w:eastAsia="方正仿宋简体" w:hAnsi="宋体" w:cs="宋体" w:hint="eastAsia"/>
          <w:color w:val="000000"/>
          <w:kern w:val="0"/>
          <w:sz w:val="24"/>
          <w:szCs w:val="24"/>
        </w:rPr>
        <w:t>元。</w:t>
      </w:r>
    </w:p>
    <w:p w:rsidR="00FD04DE" w:rsidRDefault="0068117A" w:rsidP="00651A79">
      <w:pPr>
        <w:widowControl/>
        <w:shd w:val="clear" w:color="auto" w:fill="FFFFFF"/>
        <w:spacing w:before="240" w:afterLines="30" w:line="360" w:lineRule="auto"/>
        <w:ind w:firstLineChars="200" w:firstLine="480"/>
        <w:jc w:val="left"/>
        <w:rPr>
          <w:rFonts w:ascii="方正仿宋简体" w:eastAsia="方正仿宋简体" w:hAnsi="宋体" w:cs="宋体"/>
          <w:color w:val="000000"/>
          <w:kern w:val="0"/>
          <w:sz w:val="24"/>
          <w:szCs w:val="24"/>
        </w:rPr>
      </w:pPr>
      <w:r>
        <w:rPr>
          <w:rFonts w:ascii="方正仿宋简体" w:eastAsia="方正仿宋简体" w:hAnsi="宋体" w:cs="宋体" w:hint="eastAsia"/>
          <w:color w:val="000000"/>
          <w:kern w:val="0"/>
          <w:sz w:val="24"/>
          <w:szCs w:val="24"/>
        </w:rPr>
        <w:t>产品发生其他关联交易金额</w:t>
      </w:r>
      <w:r>
        <w:rPr>
          <w:rFonts w:ascii="方正仿宋简体" w:eastAsia="方正仿宋简体" w:hAnsi="宋体" w:cs="宋体"/>
          <w:color w:val="000000"/>
          <w:kern w:val="0"/>
          <w:sz w:val="24"/>
          <w:szCs w:val="24"/>
        </w:rPr>
        <w:t/>
      </w:r>
      <w:r>
        <w:rPr>
          <w:rFonts w:ascii="方正仿宋简体" w:eastAsia="方正仿宋简体" w:hAnsi="宋体" w:cs="宋体" w:hint="eastAsia"/>
          <w:color w:val="000000"/>
          <w:kern w:val="0"/>
          <w:sz w:val="24"/>
          <w:szCs w:val="24"/>
        </w:rPr>
        <w:t/>
      </w:r>
      <w:r>
        <w:rPr>
          <w:rFonts w:ascii="方正仿宋简体" w:eastAsia="方正仿宋简体" w:hAnsi="宋体" w:cs="宋体"/>
          <w:color w:val="000000"/>
          <w:kern w:val="0"/>
          <w:sz w:val="24"/>
          <w:szCs w:val="24"/>
        </w:rPr>
        <w:t>0.00</w:t>
      </w:r>
      <w:r>
        <w:rPr>
          <w:rFonts w:ascii="方正仿宋简体" w:eastAsia="方正仿宋简体" w:hAnsi="宋体" w:cs="宋体" w:hint="eastAsia"/>
          <w:color w:val="000000"/>
          <w:kern w:val="0"/>
          <w:sz w:val="24"/>
          <w:szCs w:val="24"/>
        </w:rPr>
        <w:t>元。</w:t>
      </w:r>
    </w:p>
    <w:p w:rsidR="00FD04DE" w:rsidRDefault="0068117A" w:rsidP="00651A79">
      <w:pPr>
        <w:spacing w:before="240" w:afterLines="30" w:line="360" w:lineRule="auto"/>
        <w:ind w:firstLineChars="200" w:firstLine="480"/>
        <w:rPr>
          <w:rFonts w:ascii="方正仿宋简体" w:eastAsia="方正仿宋简体" w:hAnsi="宋体" w:cs="宋体"/>
          <w:kern w:val="0"/>
          <w:sz w:val="24"/>
          <w:szCs w:val="24"/>
        </w:rPr>
      </w:pPr>
      <w:r>
        <w:rPr>
          <w:rFonts w:ascii="方正仿宋简体" w:eastAsia="方正仿宋简体" w:hAnsi="宋体" w:cs="宋体" w:hint="eastAsia"/>
          <w:color w:val="000000"/>
          <w:kern w:val="0"/>
          <w:sz w:val="24"/>
          <w:szCs w:val="24"/>
        </w:rPr>
        <w:t>报告期内，产品未发生重大关联交易。</w:t>
      </w:r>
    </w:p>
    <w:p w:rsidR="00FD04DE" w:rsidRDefault="00FD04DE" w:rsidP="00651A79">
      <w:pPr>
        <w:spacing w:before="240" w:afterLines="30" w:line="360" w:lineRule="auto"/>
        <w:rPr>
          <w:rFonts w:ascii="方正仿宋简体" w:eastAsia="方正仿宋简体" w:hAnsi="宋体" w:cs="宋体"/>
          <w:kern w:val="0"/>
          <w:sz w:val="24"/>
          <w:szCs w:val="24"/>
        </w:rPr>
      </w:pPr>
    </w:p>
    <w:p w:rsidR="00FD04DE" w:rsidRDefault="0068117A" w:rsidP="00651A79">
      <w:pPr>
        <w:spacing w:before="240" w:afterLines="30" w:line="360" w:lineRule="auto"/>
        <w:jc w:val="center"/>
        <w:rPr>
          <w:rFonts w:ascii="方正仿宋简体" w:eastAsia="方正仿宋简体"/>
          <w:b/>
          <w:sz w:val="24"/>
          <w:szCs w:val="24"/>
        </w:rPr>
      </w:pPr>
      <w:r>
        <w:rPr>
          <w:rFonts w:ascii="方正仿宋简体" w:eastAsia="方正仿宋简体" w:hint="eastAsia"/>
          <w:b/>
          <w:sz w:val="24"/>
          <w:szCs w:val="24"/>
        </w:rPr>
        <w:t>§</w:t>
      </w:r>
      <w:r>
        <w:rPr>
          <w:rFonts w:ascii="方正仿宋简体" w:eastAsia="方正仿宋简体"/>
          <w:b/>
          <w:sz w:val="24"/>
          <w:szCs w:val="24"/>
        </w:rPr>
        <w:t>8</w:t>
      </w:r>
      <w:r>
        <w:rPr>
          <w:rFonts w:ascii="方正仿宋简体" w:eastAsia="方正仿宋简体" w:hint="eastAsia"/>
          <w:b/>
          <w:sz w:val="24"/>
          <w:szCs w:val="24"/>
        </w:rPr>
        <w:t>前10名投资者情况</w:t>
      </w:r>
    </w:p>
    <w:tbl>
      <w:tblP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846"/>
        <w:gridCol w:w="1559"/>
        <w:gridCol w:w="3686"/>
        <w:gridCol w:w="2811"/>
      </w:tblGrid>
      <w:tr w:rsidR="00FD04DE">
        <w:trPr>
          <w:trHeight w:val="705"/>
          <w:jc w:val="center"/>
        </w:trPr>
        <w:tc>
          <w:tcPr>
            <w:tcW w:w="846"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序号</w:t>
            </w:r>
          </w:p>
        </w:tc>
        <w:tc>
          <w:tcPr>
            <w:tcW w:w="1559"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类别</w:t>
            </w:r>
          </w:p>
        </w:tc>
        <w:tc>
          <w:tcPr>
            <w:tcW w:w="3686"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持有份额（份）</w:t>
            </w:r>
          </w:p>
        </w:tc>
        <w:tc>
          <w:tcPr>
            <w:tcW w:w="2811" w:type="dxa"/>
            <w:vAlign w:val="center"/>
          </w:tcPr>
          <w:p w:rsidR="00FD04DE" w:rsidRDefault="0068117A" w:rsidP="00651A79">
            <w:pPr>
              <w:spacing w:beforeLines="20" w:afterLines="20"/>
              <w:jc w:val="center"/>
              <w:rPr>
                <w:rFonts w:ascii="方正仿宋简体" w:eastAsia="方正仿宋简体" w:hAnsiTheme="minorEastAsia"/>
                <w:sz w:val="24"/>
                <w:szCs w:val="24"/>
              </w:rPr>
            </w:pPr>
            <w:r>
              <w:rPr>
                <w:rFonts w:ascii="方正仿宋简体" w:eastAsia="方正仿宋简体" w:hAnsiTheme="minorEastAsia" w:hint="eastAsia"/>
                <w:sz w:val="24"/>
                <w:szCs w:val="24"/>
              </w:rPr>
              <w:t>占总份额比例（%）</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机构</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2,000,528,319.39</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16.20</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个人</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322,602,222.00</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2.61</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机构</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127,796,173.14</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1.03</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4</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机构</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100,016,033.13</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0.81</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机构</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100,000,000.00</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0.81</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机构</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98,083,265.26</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0.79</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7</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个人</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69,547,254.42</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0.56</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8</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机构</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50,008,016.56</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0.41</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9</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机构</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30,000,000.00</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0.24</w:t>
            </w:r>
          </w:p>
        </w:tc>
      </w:tr>
      <w:tr>
        <w:trPr>
          <w:trHeight w:val="364"/>
          <w:jc w:val="center"/>
        </w:trPr>
        <w:tc>
          <w:tcPr>
            <w:tcW w:w="84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10</w:t>
            </w:r>
          </w:p>
        </w:tc>
        <w:tc>
          <w:tcPr>
            <w:tcW w:w="1559"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机构</w:t>
            </w:r>
          </w:p>
        </w:tc>
        <w:tc>
          <w:tcPr>
            <w:tcW w:w="3686"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22,176,193.48</w:t>
            </w:r>
          </w:p>
        </w:tc>
        <w:tc>
          <w:tcPr>
            <w:tcW w:w="2811" w:type="dxa"/>
            <w:vAlign w:val="center"/>
            <w:vAlign w:val="center"/>
          </w:tcPr>
          <w:p>
            <w:pPr>
              <w:spacing w:beforeLines="20" w:afterLines="20"/>
              <w:jc w:val="center"/>
              <w:textAlignment w:val="center"/>
              <w:rPr>
                <w:rFonts w:ascii="方正仿宋简体" w:eastAsia="方正仿宋简体" w:hAnsiTheme="minorEastAsia"/>
                <w:sz w:val="24"/>
                <w:szCs w:val="24"/>
              </w:rPr>
            </w:pPr>
            <w:r>
              <w:rPr>
                <w:rFonts w:ascii="方正仿宋简体" w:hAnsi="方正仿宋简体" w:cs="方正仿宋简体" w:eastAsia="方正仿宋简体"/>
                <w:sz w:val="24"/>
              </w:rPr>
              <w:t>0.18</w:t>
            </w:r>
          </w:p>
        </w:tc>
      </w:tr>
    </w:tbl>
    <w:p w:rsidR="00FD04DE" w:rsidRDefault="00FD04DE" w:rsidP="00651A79">
      <w:pPr>
        <w:spacing w:before="240" w:afterLines="30" w:line="360" w:lineRule="auto"/>
        <w:rPr>
          <w:rFonts w:ascii="方正仿宋简体" w:eastAsia="方正仿宋简体" w:hAnsi="宋体" w:cs="宋体"/>
          <w:kern w:val="0"/>
          <w:sz w:val="24"/>
          <w:szCs w:val="24"/>
        </w:rPr>
      </w:pPr>
      <w:bookmarkStart w:id="0" w:name="_GoBack"/>
      <w:bookmarkEnd w:id="0"/>
    </w:p>
    <w:p w:rsidR="00FD04DE" w:rsidRDefault="0068117A">
      <w:pPr>
        <w:spacing w:before="240" w:line="360" w:lineRule="auto"/>
        <w:jc w:val="center"/>
        <w:rPr>
          <w:rFonts w:ascii="方正仿宋简体" w:eastAsia="方正仿宋简体"/>
          <w:b/>
          <w:sz w:val="24"/>
          <w:szCs w:val="24"/>
        </w:rPr>
      </w:pPr>
      <w:r>
        <w:rPr>
          <w:rFonts w:ascii="方正仿宋简体" w:eastAsia="方正仿宋简体" w:hint="eastAsia"/>
          <w:b/>
          <w:sz w:val="24"/>
          <w:szCs w:val="24"/>
        </w:rPr>
        <w:t>§9 现金管理类理财产品持有份额不低于20%投资者情况</w:t>
      </w:r>
    </w:p>
    <w:tbl>
      <w:tblPr>
        <w:tblW w:w="11280" w:type="dxa"/>
        <w:jc w:val="center"/>
        <w:tblInd w:w="-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Borders>
          <w:top w:val="single" w:sz="1" w:color="000000"/>
          <w:left w:val="single" w:sz="1" w:color="000000"/>
          <w:bottom w:val="single" w:sz="1" w:color="000000"/>
          <w:right w:val="single" w:sz="1" w:color="000000"/>
        </w:tblBorders>
        <w:tblLayout w:type="fixed"/>
        <w:tblLook w:val="04A0"/>
      </w:tblPr>
      <w:tblGrid>
        <w:gridCol w:w="1335"/>
        <w:gridCol w:w="1560"/>
        <w:gridCol w:w="1515"/>
        <w:gridCol w:w="1787"/>
        <w:gridCol w:w="1701"/>
        <w:gridCol w:w="1792"/>
        <w:gridCol w:w="1590"/>
      </w:tblGrid>
      <w:tr w:rsidR="00FD04DE">
        <w:tc>
          <w:tcPr>
            <w:tcW w:w="1335"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Ansi="Calibri" w:hint="eastAsia"/>
                <w:sz w:val="24"/>
                <w:szCs w:val="24"/>
                <w:shd w:val="clear" w:color="auto" w:fill="FFFFFF"/>
              </w:rPr>
              <w:t>序号</w:t>
            </w:r>
          </w:p>
        </w:tc>
        <w:tc>
          <w:tcPr>
            <w:tcW w:w="1560"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日期</w:t>
            </w:r>
          </w:p>
        </w:tc>
        <w:tc>
          <w:tcPr>
            <w:tcW w:w="1515"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投资者类别</w:t>
            </w:r>
          </w:p>
        </w:tc>
        <w:tc>
          <w:tcPr>
            <w:tcW w:w="1787"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持有份额</w:t>
            </w:r>
          </w:p>
        </w:tc>
        <w:tc>
          <w:tcPr>
            <w:tcW w:w="1701"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占总份额比例</w:t>
            </w:r>
          </w:p>
        </w:tc>
        <w:tc>
          <w:tcPr>
            <w:tcW w:w="1792" w:type="dxa"/>
            <w:vAlign w:val="center"/>
          </w:tcPr>
          <w:p w:rsidR="00FD04DE" w:rsidRDefault="0068117A" w:rsidP="00651A79">
            <w:pPr>
              <w:spacing w:beforeLines="20" w:afterLines="20"/>
              <w:jc w:val="center"/>
              <w:rPr>
                <w:rFonts w:ascii="方正仿宋简体" w:eastAsia="方正仿宋简体"/>
                <w:sz w:val="24"/>
                <w:szCs w:val="24"/>
              </w:rPr>
            </w:pPr>
            <w:r>
              <w:rPr>
                <w:rFonts w:ascii="方正仿宋简体" w:eastAsia="方正仿宋简体"/>
                <w:sz w:val="24"/>
                <w:szCs w:val="24"/>
              </w:rPr>
              <w:t>持有份额</w:t>
            </w:r>
          </w:p>
          <w:p w:rsidR="00FD04DE" w:rsidRDefault="0068117A" w:rsidP="00651A79">
            <w:pPr>
              <w:spacing w:beforeLines="20" w:afterLines="20"/>
              <w:jc w:val="center"/>
              <w:rPr>
                <w:rFonts w:ascii="方正仿宋简体" w:eastAsia="方正仿宋简体"/>
                <w:sz w:val="24"/>
                <w:szCs w:val="24"/>
                <w:shd w:val="clear" w:color="auto" w:fill="FFFFFF"/>
              </w:rPr>
            </w:pPr>
            <w:r>
              <w:rPr>
                <w:rFonts w:ascii="方正仿宋简体" w:eastAsia="方正仿宋简体"/>
                <w:sz w:val="24"/>
                <w:szCs w:val="24"/>
              </w:rPr>
              <w:t>变化情况</w:t>
            </w:r>
          </w:p>
        </w:tc>
        <w:tc>
          <w:tcPr>
            <w:tcW w:w="1590"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产品风险</w:t>
            </w:r>
          </w:p>
        </w:tc>
      </w:tr>
      <w:tr w:rsidR="00FD04DE">
        <w:tc>
          <w:tcPr>
            <w:tcW w:w="1335"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w:t>
            </w:r>
          </w:p>
        </w:tc>
        <w:tc>
          <w:tcPr>
            <w:tcW w:w="1560"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w:t>
            </w:r>
          </w:p>
        </w:tc>
        <w:tc>
          <w:tcPr>
            <w:tcW w:w="1515"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w:t>
            </w:r>
          </w:p>
        </w:tc>
        <w:tc>
          <w:tcPr>
            <w:tcW w:w="1787"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w:t>
            </w:r>
          </w:p>
        </w:tc>
        <w:tc>
          <w:tcPr>
            <w:tcW w:w="1701"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w:t>
            </w:r>
          </w:p>
        </w:tc>
        <w:tc>
          <w:tcPr>
            <w:tcW w:w="1792"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w:t>
            </w:r>
          </w:p>
        </w:tc>
        <w:tc>
          <w:tcPr>
            <w:tcW w:w="1590" w:type="dxa"/>
            <w:vAlign w:val="center"/>
          </w:tcPr>
          <w:p w:rsidR="00FD04DE" w:rsidRDefault="0068117A">
            <w:pPr>
              <w:spacing w:before="240" w:line="360" w:lineRule="auto"/>
              <w:jc w:val="center"/>
              <w:rPr>
                <w:rFonts w:ascii="方正仿宋简体" w:eastAsia="方正仿宋简体"/>
                <w:sz w:val="24"/>
                <w:szCs w:val="24"/>
                <w:shd w:val="clear" w:color="auto" w:fill="FFFFFF"/>
              </w:rPr>
            </w:pPr>
            <w:r>
              <w:rPr>
                <w:rFonts w:ascii="方正仿宋简体" w:eastAsia="方正仿宋简体" w:hint="eastAsia"/>
                <w:sz w:val="24"/>
                <w:szCs w:val="24"/>
              </w:rPr>
              <w:t>-</w:t>
            </w:r>
          </w:p>
        </w:tc>
      </w:tr>
    </w:tbl>
    <w:p w:rsidR="00FD04DE" w:rsidRDefault="00FD04DE" w:rsidP="00651A79">
      <w:pPr>
        <w:spacing w:before="240" w:afterLines="30" w:line="360" w:lineRule="auto"/>
        <w:rPr>
          <w:rFonts w:ascii="方正仿宋简体" w:eastAsia="方正仿宋简体" w:hAnsi="宋体" w:cs="宋体"/>
          <w:kern w:val="0"/>
          <w:sz w:val="24"/>
          <w:szCs w:val="24"/>
        </w:rPr>
      </w:pPr>
    </w:p>
    <w:p w:rsidR="00FD04DE" w:rsidRDefault="0068117A" w:rsidP="00651A79">
      <w:pPr>
        <w:spacing w:before="240" w:afterLines="30" w:line="360" w:lineRule="auto"/>
        <w:jc w:val="right"/>
        <w:rPr>
          <w:rFonts w:ascii="方正仿宋简体" w:eastAsia="方正仿宋简体" w:hAnsi="Calibri"/>
          <w:b/>
          <w:sz w:val="24"/>
          <w:szCs w:val="24"/>
        </w:rPr>
      </w:pPr>
      <w:r>
        <w:rPr>
          <w:rFonts w:ascii="方正仿宋简体" w:eastAsia="方正仿宋简体" w:hAnsi="Calibri" w:hint="eastAsia"/>
          <w:b/>
          <w:sz w:val="24"/>
          <w:szCs w:val="24"/>
        </w:rPr>
        <w:t>南银理财有限责任公司</w:t>
      </w:r>
    </w:p>
    <w:p w:rsidR="00FD04DE" w:rsidRDefault="0068117A" w:rsidP="00DE76CB">
      <w:pPr>
        <w:spacing w:before="240" w:afterLines="30" w:line="360" w:lineRule="auto"/>
        <w:jc w:val="right"/>
        <w:rPr>
          <w:rFonts w:ascii="方正仿宋简体" w:eastAsia="方正仿宋简体"/>
          <w:b/>
          <w:sz w:val="24"/>
          <w:szCs w:val="24"/>
        </w:rPr>
      </w:pPr>
      <w:r>
        <w:rPr>
          <w:rFonts w:ascii="方正仿宋简体" w:eastAsia="方正仿宋简体" w:hint="eastAsia"/>
          <w:b/>
          <w:sz w:val="24"/>
          <w:szCs w:val="24"/>
        </w:rPr>
        <w:t>2025年06月30日</w:t>
      </w:r>
    </w:p>
    <w:sectPr w:rsidR="00FD04DE" w:rsidSect="00FD04DE">
      <w:headerReference w:type="default" r:id="rId7"/>
      <w:footerReference w:type="even" r:id="rId8"/>
      <w:footerReference w:type="default" r:id="rId9"/>
      <w:headerReference w:type="first" r:id="rId10"/>
      <w:pgSz w:w="11926" w:h="16867"/>
      <w:pgMar w:top="1418" w:right="1418" w:bottom="853" w:left="1418" w:header="851" w:footer="992" w:gutter="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227A" w:rsidRDefault="00BE227A" w:rsidP="00FD04DE">
      <w:r>
        <w:separator/>
      </w:r>
    </w:p>
  </w:endnote>
  <w:endnote w:type="continuationSeparator" w:id="1">
    <w:p w:rsidR="00BE227A" w:rsidRDefault="00BE227A" w:rsidP="00FD04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简体">
    <w:altName w:val="微软雅黑"/>
    <w:charset w:val="86"/>
    <w:family w:val="script"/>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4DE" w:rsidRDefault="00DE76CB">
    <w:pPr>
      <w:pStyle w:val="a5"/>
      <w:framePr w:wrap="around" w:vAnchor="text" w:hAnchor="margin" w:xAlign="center" w:y="1"/>
      <w:rPr>
        <w:rStyle w:val="ab"/>
      </w:rPr>
    </w:pPr>
    <w:r>
      <w:fldChar w:fldCharType="begin"/>
    </w:r>
    <w:r w:rsidR="0068117A">
      <w:rPr>
        <w:rStyle w:val="ab"/>
      </w:rPr>
      <w:instrText xml:space="preserve">PAGE  </w:instrText>
    </w:r>
    <w:r>
      <w:fldChar w:fldCharType="end"/>
    </w:r>
  </w:p>
  <w:p w:rsidR="00FD04DE" w:rsidRDefault="00FD04DE">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4DE" w:rsidRDefault="00FD04DE">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227A" w:rsidRDefault="00BE227A" w:rsidP="00FD04DE">
      <w:r>
        <w:separator/>
      </w:r>
    </w:p>
  </w:footnote>
  <w:footnote w:type="continuationSeparator" w:id="1">
    <w:p w:rsidR="00BE227A" w:rsidRDefault="00BE227A" w:rsidP="00FD04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4DE" w:rsidRDefault="00FD04DE">
    <w:pPr>
      <w:pStyle w:val="a6"/>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4DE" w:rsidRDefault="00FD04DE">
    <w:pPr>
      <w:pStyle w:val="a6"/>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720"/>
  <w:noPunctuationKerning/>
  <w:characterSpacingControl w:val="compressPunctuation"/>
  <w:hdrShapeDefaults>
    <o:shapedefaults v:ext="edit" spidmax="7170"/>
  </w:hdrShapeDefaults>
  <w:footnotePr>
    <w:footnote w:id="0"/>
    <w:footnote w:id="1"/>
  </w:footnotePr>
  <w:endnotePr>
    <w:endnote w:id="0"/>
    <w:endnote w:id="1"/>
  </w:endnotePr>
  <w:compat>
    <w:doNotExpandShiftReturn/>
    <w:useFELayout/>
  </w:compat>
  <w:rsids>
    <w:rsidRoot w:val="00172A27"/>
    <w:rsid w:val="00000A95"/>
    <w:rsid w:val="000060E5"/>
    <w:rsid w:val="00015019"/>
    <w:rsid w:val="000234FF"/>
    <w:rsid w:val="00026D52"/>
    <w:rsid w:val="000318AA"/>
    <w:rsid w:val="00034FF6"/>
    <w:rsid w:val="000367D9"/>
    <w:rsid w:val="00044BFF"/>
    <w:rsid w:val="000470C2"/>
    <w:rsid w:val="0005474A"/>
    <w:rsid w:val="00061725"/>
    <w:rsid w:val="000633AA"/>
    <w:rsid w:val="00066A9A"/>
    <w:rsid w:val="000737ED"/>
    <w:rsid w:val="00095B95"/>
    <w:rsid w:val="00095BB4"/>
    <w:rsid w:val="000A3711"/>
    <w:rsid w:val="000D5066"/>
    <w:rsid w:val="000E1673"/>
    <w:rsid w:val="000E6ACE"/>
    <w:rsid w:val="000F06ED"/>
    <w:rsid w:val="000F27F1"/>
    <w:rsid w:val="000F6191"/>
    <w:rsid w:val="00117505"/>
    <w:rsid w:val="001279EA"/>
    <w:rsid w:val="00130CE8"/>
    <w:rsid w:val="0013364F"/>
    <w:rsid w:val="00141AB4"/>
    <w:rsid w:val="0014449D"/>
    <w:rsid w:val="00150E2C"/>
    <w:rsid w:val="00152201"/>
    <w:rsid w:val="00172A27"/>
    <w:rsid w:val="00173478"/>
    <w:rsid w:val="001735BA"/>
    <w:rsid w:val="00176636"/>
    <w:rsid w:val="00183C84"/>
    <w:rsid w:val="001B497D"/>
    <w:rsid w:val="001C05F9"/>
    <w:rsid w:val="001C3860"/>
    <w:rsid w:val="001C5395"/>
    <w:rsid w:val="001E2EEA"/>
    <w:rsid w:val="001E5905"/>
    <w:rsid w:val="001E7120"/>
    <w:rsid w:val="002051AF"/>
    <w:rsid w:val="00211F26"/>
    <w:rsid w:val="00220B2B"/>
    <w:rsid w:val="00224D9D"/>
    <w:rsid w:val="00225D2E"/>
    <w:rsid w:val="002263FC"/>
    <w:rsid w:val="002448E3"/>
    <w:rsid w:val="00247593"/>
    <w:rsid w:val="00247A0A"/>
    <w:rsid w:val="00290B55"/>
    <w:rsid w:val="00295E85"/>
    <w:rsid w:val="002A3AE9"/>
    <w:rsid w:val="002A405A"/>
    <w:rsid w:val="002B7F5A"/>
    <w:rsid w:val="002C196E"/>
    <w:rsid w:val="002D2DB0"/>
    <w:rsid w:val="002D75D0"/>
    <w:rsid w:val="002E7131"/>
    <w:rsid w:val="002E795C"/>
    <w:rsid w:val="00301467"/>
    <w:rsid w:val="00302167"/>
    <w:rsid w:val="00305714"/>
    <w:rsid w:val="00313E71"/>
    <w:rsid w:val="00321CB7"/>
    <w:rsid w:val="003379A9"/>
    <w:rsid w:val="00341B28"/>
    <w:rsid w:val="00350ADF"/>
    <w:rsid w:val="00355623"/>
    <w:rsid w:val="00387F9B"/>
    <w:rsid w:val="003A0419"/>
    <w:rsid w:val="003B117F"/>
    <w:rsid w:val="003B4AB4"/>
    <w:rsid w:val="003C4D3B"/>
    <w:rsid w:val="003E09EA"/>
    <w:rsid w:val="003E412C"/>
    <w:rsid w:val="003F098E"/>
    <w:rsid w:val="003F0AC3"/>
    <w:rsid w:val="00433022"/>
    <w:rsid w:val="00455600"/>
    <w:rsid w:val="00456251"/>
    <w:rsid w:val="004A0363"/>
    <w:rsid w:val="004A156A"/>
    <w:rsid w:val="004B5DED"/>
    <w:rsid w:val="004C1607"/>
    <w:rsid w:val="004E621E"/>
    <w:rsid w:val="004F2359"/>
    <w:rsid w:val="004F313C"/>
    <w:rsid w:val="0050244A"/>
    <w:rsid w:val="005069D8"/>
    <w:rsid w:val="0051077F"/>
    <w:rsid w:val="00522179"/>
    <w:rsid w:val="00522858"/>
    <w:rsid w:val="0056162E"/>
    <w:rsid w:val="00563B93"/>
    <w:rsid w:val="00565BF6"/>
    <w:rsid w:val="00567DB3"/>
    <w:rsid w:val="00594CF2"/>
    <w:rsid w:val="005B272E"/>
    <w:rsid w:val="005B3434"/>
    <w:rsid w:val="005B7384"/>
    <w:rsid w:val="005D5ED6"/>
    <w:rsid w:val="005D7503"/>
    <w:rsid w:val="005E0686"/>
    <w:rsid w:val="005E2884"/>
    <w:rsid w:val="005E40C5"/>
    <w:rsid w:val="005E5050"/>
    <w:rsid w:val="005F0633"/>
    <w:rsid w:val="005F2C7B"/>
    <w:rsid w:val="005F4D04"/>
    <w:rsid w:val="005F7DA9"/>
    <w:rsid w:val="006054F8"/>
    <w:rsid w:val="00617E25"/>
    <w:rsid w:val="00645514"/>
    <w:rsid w:val="00651A79"/>
    <w:rsid w:val="0065419A"/>
    <w:rsid w:val="00654220"/>
    <w:rsid w:val="006624C2"/>
    <w:rsid w:val="00663B94"/>
    <w:rsid w:val="00676076"/>
    <w:rsid w:val="00677CEA"/>
    <w:rsid w:val="00677F66"/>
    <w:rsid w:val="0068117A"/>
    <w:rsid w:val="006C1014"/>
    <w:rsid w:val="006D5D22"/>
    <w:rsid w:val="006E3BA0"/>
    <w:rsid w:val="006E4E94"/>
    <w:rsid w:val="006E70D5"/>
    <w:rsid w:val="006F69B2"/>
    <w:rsid w:val="007017D8"/>
    <w:rsid w:val="00730BEE"/>
    <w:rsid w:val="0073101E"/>
    <w:rsid w:val="00733378"/>
    <w:rsid w:val="00735153"/>
    <w:rsid w:val="00735E29"/>
    <w:rsid w:val="00745421"/>
    <w:rsid w:val="00745F96"/>
    <w:rsid w:val="0074729D"/>
    <w:rsid w:val="00782F29"/>
    <w:rsid w:val="00796214"/>
    <w:rsid w:val="007A4219"/>
    <w:rsid w:val="007B08DF"/>
    <w:rsid w:val="007C4F56"/>
    <w:rsid w:val="007C516D"/>
    <w:rsid w:val="007E0B6E"/>
    <w:rsid w:val="007E4637"/>
    <w:rsid w:val="007E6537"/>
    <w:rsid w:val="00800690"/>
    <w:rsid w:val="0080200C"/>
    <w:rsid w:val="00802D0C"/>
    <w:rsid w:val="00814110"/>
    <w:rsid w:val="00822116"/>
    <w:rsid w:val="0082561A"/>
    <w:rsid w:val="0083403C"/>
    <w:rsid w:val="00846B2E"/>
    <w:rsid w:val="0085663C"/>
    <w:rsid w:val="00870717"/>
    <w:rsid w:val="008768AB"/>
    <w:rsid w:val="008870FD"/>
    <w:rsid w:val="008904CC"/>
    <w:rsid w:val="008926F7"/>
    <w:rsid w:val="00895C9A"/>
    <w:rsid w:val="008A7510"/>
    <w:rsid w:val="008B2B66"/>
    <w:rsid w:val="008C18AE"/>
    <w:rsid w:val="008C3CBF"/>
    <w:rsid w:val="008C670A"/>
    <w:rsid w:val="008C78BD"/>
    <w:rsid w:val="008F099C"/>
    <w:rsid w:val="008F0FA3"/>
    <w:rsid w:val="00900D90"/>
    <w:rsid w:val="0090315A"/>
    <w:rsid w:val="00907C39"/>
    <w:rsid w:val="009354D6"/>
    <w:rsid w:val="00956754"/>
    <w:rsid w:val="009679B0"/>
    <w:rsid w:val="00970A98"/>
    <w:rsid w:val="00977E89"/>
    <w:rsid w:val="00991B0F"/>
    <w:rsid w:val="009A00E4"/>
    <w:rsid w:val="009A4E79"/>
    <w:rsid w:val="009B1695"/>
    <w:rsid w:val="009B2EEF"/>
    <w:rsid w:val="009B50F2"/>
    <w:rsid w:val="009C6A99"/>
    <w:rsid w:val="009C781F"/>
    <w:rsid w:val="009D5296"/>
    <w:rsid w:val="009E6170"/>
    <w:rsid w:val="009F1FD4"/>
    <w:rsid w:val="009F4338"/>
    <w:rsid w:val="00A061C5"/>
    <w:rsid w:val="00A204A0"/>
    <w:rsid w:val="00A30A44"/>
    <w:rsid w:val="00A4484F"/>
    <w:rsid w:val="00A66D8E"/>
    <w:rsid w:val="00A7328D"/>
    <w:rsid w:val="00A76D4B"/>
    <w:rsid w:val="00A77C47"/>
    <w:rsid w:val="00A8398D"/>
    <w:rsid w:val="00A9119C"/>
    <w:rsid w:val="00A94A56"/>
    <w:rsid w:val="00AA36EB"/>
    <w:rsid w:val="00AA3DCD"/>
    <w:rsid w:val="00AA4549"/>
    <w:rsid w:val="00AA5B04"/>
    <w:rsid w:val="00AA6CFF"/>
    <w:rsid w:val="00AC3D79"/>
    <w:rsid w:val="00AC5144"/>
    <w:rsid w:val="00AD3853"/>
    <w:rsid w:val="00AF7510"/>
    <w:rsid w:val="00B13014"/>
    <w:rsid w:val="00B17559"/>
    <w:rsid w:val="00B176FA"/>
    <w:rsid w:val="00B21BF0"/>
    <w:rsid w:val="00B23E1D"/>
    <w:rsid w:val="00B33978"/>
    <w:rsid w:val="00B33B19"/>
    <w:rsid w:val="00B3722F"/>
    <w:rsid w:val="00B404E6"/>
    <w:rsid w:val="00B4360D"/>
    <w:rsid w:val="00B534AE"/>
    <w:rsid w:val="00B61EA9"/>
    <w:rsid w:val="00B62586"/>
    <w:rsid w:val="00B670D1"/>
    <w:rsid w:val="00B74DCA"/>
    <w:rsid w:val="00B763A5"/>
    <w:rsid w:val="00B94CD4"/>
    <w:rsid w:val="00B964AE"/>
    <w:rsid w:val="00BA2C7F"/>
    <w:rsid w:val="00BA5103"/>
    <w:rsid w:val="00BA632A"/>
    <w:rsid w:val="00BC3903"/>
    <w:rsid w:val="00BE106D"/>
    <w:rsid w:val="00BE227A"/>
    <w:rsid w:val="00BE47E0"/>
    <w:rsid w:val="00BF3D9D"/>
    <w:rsid w:val="00BF75C8"/>
    <w:rsid w:val="00C00058"/>
    <w:rsid w:val="00C0286D"/>
    <w:rsid w:val="00C11797"/>
    <w:rsid w:val="00C15C25"/>
    <w:rsid w:val="00C1762E"/>
    <w:rsid w:val="00C20F36"/>
    <w:rsid w:val="00C20F84"/>
    <w:rsid w:val="00C25123"/>
    <w:rsid w:val="00C2582A"/>
    <w:rsid w:val="00C30A48"/>
    <w:rsid w:val="00C375A7"/>
    <w:rsid w:val="00C44DFE"/>
    <w:rsid w:val="00C62DF8"/>
    <w:rsid w:val="00C640FB"/>
    <w:rsid w:val="00C86023"/>
    <w:rsid w:val="00C94EBA"/>
    <w:rsid w:val="00C973B4"/>
    <w:rsid w:val="00CA2770"/>
    <w:rsid w:val="00CB054E"/>
    <w:rsid w:val="00CC52D7"/>
    <w:rsid w:val="00CE4DED"/>
    <w:rsid w:val="00D04811"/>
    <w:rsid w:val="00D20F53"/>
    <w:rsid w:val="00D23611"/>
    <w:rsid w:val="00D23AB6"/>
    <w:rsid w:val="00D50309"/>
    <w:rsid w:val="00D51AA9"/>
    <w:rsid w:val="00D57677"/>
    <w:rsid w:val="00D7264A"/>
    <w:rsid w:val="00D84E43"/>
    <w:rsid w:val="00D870DF"/>
    <w:rsid w:val="00DA30A0"/>
    <w:rsid w:val="00DB0C2F"/>
    <w:rsid w:val="00DB3BF6"/>
    <w:rsid w:val="00DB56A2"/>
    <w:rsid w:val="00DC31CC"/>
    <w:rsid w:val="00DC728A"/>
    <w:rsid w:val="00DD2F3C"/>
    <w:rsid w:val="00DD4A55"/>
    <w:rsid w:val="00DD65B5"/>
    <w:rsid w:val="00DD782E"/>
    <w:rsid w:val="00DE76CB"/>
    <w:rsid w:val="00DF6907"/>
    <w:rsid w:val="00E1059D"/>
    <w:rsid w:val="00E126A1"/>
    <w:rsid w:val="00E12955"/>
    <w:rsid w:val="00E155DF"/>
    <w:rsid w:val="00E174FA"/>
    <w:rsid w:val="00E246E1"/>
    <w:rsid w:val="00E314CE"/>
    <w:rsid w:val="00E340F5"/>
    <w:rsid w:val="00E514EB"/>
    <w:rsid w:val="00E52823"/>
    <w:rsid w:val="00E52B10"/>
    <w:rsid w:val="00E600D0"/>
    <w:rsid w:val="00E7192D"/>
    <w:rsid w:val="00E944FA"/>
    <w:rsid w:val="00E9797A"/>
    <w:rsid w:val="00EB0DB4"/>
    <w:rsid w:val="00EB44BE"/>
    <w:rsid w:val="00ED1047"/>
    <w:rsid w:val="00ED781F"/>
    <w:rsid w:val="00EE0436"/>
    <w:rsid w:val="00EE2819"/>
    <w:rsid w:val="00EF04A5"/>
    <w:rsid w:val="00F258C8"/>
    <w:rsid w:val="00F30035"/>
    <w:rsid w:val="00F33E30"/>
    <w:rsid w:val="00F41324"/>
    <w:rsid w:val="00F47D39"/>
    <w:rsid w:val="00F47E18"/>
    <w:rsid w:val="00F57C12"/>
    <w:rsid w:val="00F609FD"/>
    <w:rsid w:val="00F64BD9"/>
    <w:rsid w:val="00F65ACC"/>
    <w:rsid w:val="00F7052D"/>
    <w:rsid w:val="00F771E3"/>
    <w:rsid w:val="00F8162C"/>
    <w:rsid w:val="00F859AB"/>
    <w:rsid w:val="00F950D0"/>
    <w:rsid w:val="00FA0110"/>
    <w:rsid w:val="00FA2C26"/>
    <w:rsid w:val="00FA4F66"/>
    <w:rsid w:val="00FC027F"/>
    <w:rsid w:val="00FC61B9"/>
    <w:rsid w:val="00FD04DE"/>
    <w:rsid w:val="00FD1F12"/>
    <w:rsid w:val="00FD412B"/>
    <w:rsid w:val="00FF26C8"/>
    <w:rsid w:val="016D581F"/>
    <w:rsid w:val="030F2BA7"/>
    <w:rsid w:val="04240CEE"/>
    <w:rsid w:val="065551D3"/>
    <w:rsid w:val="06C37561"/>
    <w:rsid w:val="0A236A5A"/>
    <w:rsid w:val="0EE72DE1"/>
    <w:rsid w:val="0FC27AFF"/>
    <w:rsid w:val="10992483"/>
    <w:rsid w:val="111D4539"/>
    <w:rsid w:val="13297F9C"/>
    <w:rsid w:val="134727C6"/>
    <w:rsid w:val="141A5102"/>
    <w:rsid w:val="14E8025C"/>
    <w:rsid w:val="15FE575C"/>
    <w:rsid w:val="1ADC05C7"/>
    <w:rsid w:val="1E911FB2"/>
    <w:rsid w:val="20F325AF"/>
    <w:rsid w:val="216F6F5C"/>
    <w:rsid w:val="22D04645"/>
    <w:rsid w:val="22E23E75"/>
    <w:rsid w:val="2555668E"/>
    <w:rsid w:val="25AF3A81"/>
    <w:rsid w:val="26FD4196"/>
    <w:rsid w:val="28CD1EA7"/>
    <w:rsid w:val="29F7636C"/>
    <w:rsid w:val="2A2232BA"/>
    <w:rsid w:val="32955A2A"/>
    <w:rsid w:val="32AE1BB2"/>
    <w:rsid w:val="36341C31"/>
    <w:rsid w:val="368076E6"/>
    <w:rsid w:val="378F5AE0"/>
    <w:rsid w:val="37F709A6"/>
    <w:rsid w:val="39E872E9"/>
    <w:rsid w:val="3ABE1FB8"/>
    <w:rsid w:val="3C753CC7"/>
    <w:rsid w:val="3F2C3B54"/>
    <w:rsid w:val="40990310"/>
    <w:rsid w:val="459870AF"/>
    <w:rsid w:val="45ED49CE"/>
    <w:rsid w:val="46F0109E"/>
    <w:rsid w:val="47475A63"/>
    <w:rsid w:val="4E276A76"/>
    <w:rsid w:val="509017BA"/>
    <w:rsid w:val="51482FC3"/>
    <w:rsid w:val="52830253"/>
    <w:rsid w:val="541C469D"/>
    <w:rsid w:val="55584B9A"/>
    <w:rsid w:val="5BC1648F"/>
    <w:rsid w:val="5BE61B5E"/>
    <w:rsid w:val="602D020F"/>
    <w:rsid w:val="64C67B5C"/>
    <w:rsid w:val="66F47EBC"/>
    <w:rsid w:val="681903E9"/>
    <w:rsid w:val="68823415"/>
    <w:rsid w:val="6898111C"/>
    <w:rsid w:val="6A485270"/>
    <w:rsid w:val="6D05415D"/>
    <w:rsid w:val="6F66394D"/>
    <w:rsid w:val="73193673"/>
    <w:rsid w:val="74543F24"/>
    <w:rsid w:val="74BE328D"/>
    <w:rsid w:val="780E0FCF"/>
    <w:rsid w:val="78C453AF"/>
    <w:rsid w:val="7E724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semiHidden="0" w:qFormat="1"/>
    <w:lsdException w:name="header" w:semiHidden="0" w:qFormat="1"/>
    <w:lsdException w:name="footer" w:semiHidden="0" w:qFormat="1"/>
    <w:lsdException w:name="caption" w:uiPriority="35" w:qFormat="1"/>
    <w:lsdException w:name="footnote reference" w:semiHidden="0" w:qFormat="1"/>
    <w:lsdException w:name="annotation reference" w:semiHidden="0" w:qFormat="1"/>
    <w:lsdException w:name="page number" w:semiHidden="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annotation subject" w:semiHidden="0"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4D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FD04DE"/>
    <w:pPr>
      <w:jc w:val="left"/>
    </w:pPr>
  </w:style>
  <w:style w:type="paragraph" w:styleId="a4">
    <w:name w:val="Balloon Text"/>
    <w:basedOn w:val="a"/>
    <w:link w:val="Char0"/>
    <w:uiPriority w:val="99"/>
    <w:unhideWhenUsed/>
    <w:qFormat/>
    <w:rsid w:val="00FD04DE"/>
    <w:rPr>
      <w:sz w:val="18"/>
      <w:szCs w:val="18"/>
    </w:rPr>
  </w:style>
  <w:style w:type="paragraph" w:styleId="a5">
    <w:name w:val="footer"/>
    <w:basedOn w:val="a"/>
    <w:link w:val="Char1"/>
    <w:uiPriority w:val="99"/>
    <w:unhideWhenUsed/>
    <w:qFormat/>
    <w:rsid w:val="00FD04DE"/>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FD04DE"/>
    <w:pPr>
      <w:pBdr>
        <w:bottom w:val="single" w:sz="6" w:space="1" w:color="auto"/>
      </w:pBdr>
      <w:tabs>
        <w:tab w:val="center" w:pos="4153"/>
        <w:tab w:val="right" w:pos="8306"/>
      </w:tabs>
      <w:snapToGrid w:val="0"/>
      <w:jc w:val="center"/>
    </w:pPr>
    <w:rPr>
      <w:sz w:val="18"/>
      <w:szCs w:val="18"/>
    </w:rPr>
  </w:style>
  <w:style w:type="paragraph" w:styleId="a7">
    <w:name w:val="footnote text"/>
    <w:basedOn w:val="a"/>
    <w:uiPriority w:val="99"/>
    <w:unhideWhenUsed/>
    <w:qFormat/>
    <w:rsid w:val="00FD04DE"/>
    <w:pPr>
      <w:snapToGrid w:val="0"/>
      <w:jc w:val="left"/>
    </w:pPr>
    <w:rPr>
      <w:sz w:val="18"/>
    </w:rPr>
  </w:style>
  <w:style w:type="paragraph" w:styleId="a8">
    <w:name w:val="Normal (Web)"/>
    <w:basedOn w:val="a"/>
    <w:qFormat/>
    <w:rsid w:val="00FD04DE"/>
    <w:pPr>
      <w:widowControl/>
      <w:spacing w:before="100" w:beforeAutospacing="1" w:after="100" w:afterAutospacing="1"/>
      <w:jc w:val="left"/>
    </w:pPr>
    <w:rPr>
      <w:rFonts w:ascii="宋体" w:hAnsi="宋体"/>
      <w:kern w:val="0"/>
      <w:sz w:val="24"/>
      <w:szCs w:val="24"/>
    </w:rPr>
  </w:style>
  <w:style w:type="paragraph" w:styleId="a9">
    <w:name w:val="annotation subject"/>
    <w:basedOn w:val="a3"/>
    <w:next w:val="a3"/>
    <w:link w:val="Char3"/>
    <w:uiPriority w:val="99"/>
    <w:unhideWhenUsed/>
    <w:qFormat/>
    <w:rsid w:val="00FD04DE"/>
    <w:rPr>
      <w:b/>
      <w:bCs/>
    </w:rPr>
  </w:style>
  <w:style w:type="table" w:styleId="aa">
    <w:name w:val="Table Grid"/>
    <w:basedOn w:val="a1"/>
    <w:uiPriority w:val="59"/>
    <w:qFormat/>
    <w:rsid w:val="00FD04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0"/>
    <w:uiPriority w:val="99"/>
    <w:unhideWhenUsed/>
    <w:qFormat/>
    <w:rsid w:val="00FD04DE"/>
  </w:style>
  <w:style w:type="character" w:styleId="ac">
    <w:name w:val="annotation reference"/>
    <w:uiPriority w:val="99"/>
    <w:unhideWhenUsed/>
    <w:qFormat/>
    <w:rsid w:val="00FD04DE"/>
    <w:rPr>
      <w:sz w:val="21"/>
      <w:szCs w:val="21"/>
    </w:rPr>
  </w:style>
  <w:style w:type="character" w:styleId="ad">
    <w:name w:val="footnote reference"/>
    <w:uiPriority w:val="99"/>
    <w:unhideWhenUsed/>
    <w:qFormat/>
    <w:rsid w:val="00FD04DE"/>
    <w:rPr>
      <w:vertAlign w:val="superscript"/>
    </w:rPr>
  </w:style>
  <w:style w:type="character" w:customStyle="1" w:styleId="Char0">
    <w:name w:val="批注框文本 Char"/>
    <w:link w:val="a4"/>
    <w:uiPriority w:val="99"/>
    <w:semiHidden/>
    <w:qFormat/>
    <w:rsid w:val="00FD04DE"/>
    <w:rPr>
      <w:kern w:val="2"/>
      <w:sz w:val="18"/>
      <w:szCs w:val="18"/>
    </w:rPr>
  </w:style>
  <w:style w:type="character" w:customStyle="1" w:styleId="Char2">
    <w:name w:val="页眉 Char"/>
    <w:link w:val="a6"/>
    <w:uiPriority w:val="99"/>
    <w:semiHidden/>
    <w:qFormat/>
    <w:locked/>
    <w:rsid w:val="00FD04DE"/>
    <w:rPr>
      <w:rFonts w:ascii="Times New Roman" w:hAnsi="Times New Roman" w:cs="Times New Roman" w:hint="default"/>
      <w:sz w:val="18"/>
      <w:szCs w:val="18"/>
    </w:rPr>
  </w:style>
  <w:style w:type="character" w:customStyle="1" w:styleId="Char3">
    <w:name w:val="批注主题 Char"/>
    <w:link w:val="a9"/>
    <w:uiPriority w:val="99"/>
    <w:semiHidden/>
    <w:qFormat/>
    <w:rsid w:val="00FD04DE"/>
    <w:rPr>
      <w:b/>
      <w:bCs/>
      <w:kern w:val="2"/>
      <w:sz w:val="21"/>
      <w:szCs w:val="22"/>
    </w:rPr>
  </w:style>
  <w:style w:type="character" w:customStyle="1" w:styleId="Char1">
    <w:name w:val="页脚 Char"/>
    <w:link w:val="a5"/>
    <w:uiPriority w:val="99"/>
    <w:semiHidden/>
    <w:qFormat/>
    <w:locked/>
    <w:rsid w:val="00FD04DE"/>
    <w:rPr>
      <w:rFonts w:ascii="Times New Roman" w:hAnsi="Times New Roman" w:cs="Times New Roman" w:hint="default"/>
      <w:sz w:val="18"/>
      <w:szCs w:val="18"/>
    </w:rPr>
  </w:style>
  <w:style w:type="character" w:customStyle="1" w:styleId="Char">
    <w:name w:val="批注文字 Char"/>
    <w:link w:val="a3"/>
    <w:uiPriority w:val="99"/>
    <w:qFormat/>
    <w:rsid w:val="00FD04DE"/>
    <w:rPr>
      <w:kern w:val="2"/>
      <w:sz w:val="21"/>
      <w:szCs w:val="22"/>
    </w:rPr>
  </w:style>
  <w:style w:type="paragraph" w:customStyle="1" w:styleId="zhongyaotishi">
    <w:name w:val="zhongyaotishi"/>
    <w:basedOn w:val="a"/>
    <w:qFormat/>
    <w:rsid w:val="00FD04DE"/>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zhangjiep">
    <w:name w:val="zhangjie_p"/>
    <w:basedOn w:val="a"/>
    <w:qFormat/>
    <w:rsid w:val="00FD04DE"/>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biaogeright1">
    <w:name w:val="biaoge_right1"/>
    <w:basedOn w:val="a"/>
    <w:qFormat/>
    <w:rsid w:val="00FD04DE"/>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right">
    <w:name w:val="biaoge_right"/>
    <w:basedOn w:val="a"/>
    <w:qFormat/>
    <w:rsid w:val="00FD04DE"/>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biaogecenter">
    <w:name w:val="biaoge_center"/>
    <w:basedOn w:val="a"/>
    <w:qFormat/>
    <w:rsid w:val="00FD04DE"/>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msonormalfy">
    <w:name w:val="msonormalfy"/>
    <w:qFormat/>
    <w:rsid w:val="00FD04DE"/>
    <w:pPr>
      <w:widowControl w:val="0"/>
      <w:jc w:val="center"/>
    </w:pPr>
    <w:rPr>
      <w:kern w:val="2"/>
      <w:sz w:val="33"/>
      <w:szCs w:val="22"/>
    </w:rPr>
  </w:style>
  <w:style w:type="paragraph" w:customStyle="1" w:styleId="biaogeleft">
    <w:name w:val="biaoge_left"/>
    <w:basedOn w:val="a"/>
    <w:qFormat/>
    <w:rsid w:val="00FD04DE"/>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dazhangjie">
    <w:name w:val="dazhangjie"/>
    <w:basedOn w:val="a"/>
    <w:qFormat/>
    <w:rsid w:val="00FD04DE"/>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zhangjiep2">
    <w:name w:val="zhangjie_p2"/>
    <w:basedOn w:val="a"/>
    <w:qFormat/>
    <w:rsid w:val="00FD04DE"/>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hide">
    <w:name w:val="hide"/>
    <w:basedOn w:val="a"/>
    <w:qFormat/>
    <w:rsid w:val="00FD04DE"/>
    <w:pPr>
      <w:widowControl/>
      <w:spacing w:before="100" w:beforeAutospacing="1" w:after="100" w:afterAutospacing="1"/>
      <w:jc w:val="left"/>
    </w:pPr>
    <w:rPr>
      <w:rFonts w:ascii="宋体" w:hAnsi="宋体" w:cs="宋体"/>
      <w:vanish/>
      <w:kern w:val="0"/>
      <w:sz w:val="24"/>
      <w:szCs w:val="24"/>
    </w:rPr>
  </w:style>
  <w:style w:type="paragraph" w:customStyle="1" w:styleId="show">
    <w:name w:val="show"/>
    <w:basedOn w:val="a"/>
    <w:qFormat/>
    <w:rsid w:val="00FD04DE"/>
    <w:pPr>
      <w:widowControl/>
      <w:spacing w:before="100" w:beforeAutospacing="1" w:after="100" w:afterAutospacing="1"/>
      <w:jc w:val="left"/>
    </w:pPr>
    <w:rPr>
      <w:rFonts w:ascii="宋体" w:hAnsi="宋体" w:cs="宋体"/>
      <w:kern w:val="0"/>
      <w:sz w:val="24"/>
      <w:szCs w:val="24"/>
    </w:rPr>
  </w:style>
  <w:style w:type="paragraph" w:customStyle="1" w:styleId="msonormalnone">
    <w:name w:val="msonormal_none"/>
    <w:qFormat/>
    <w:rsid w:val="00FD04DE"/>
    <w:pPr>
      <w:widowControl w:val="0"/>
    </w:pPr>
    <w:rPr>
      <w:kern w:val="2"/>
      <w:sz w:val="21"/>
      <w:szCs w:val="22"/>
    </w:rPr>
  </w:style>
  <w:style w:type="paragraph" w:customStyle="1" w:styleId="neirong">
    <w:name w:val="neirong"/>
    <w:basedOn w:val="a"/>
    <w:qFormat/>
    <w:rsid w:val="00FD04DE"/>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
    <w:name w:val="正文1"/>
    <w:qFormat/>
    <w:rsid w:val="00FD04DE"/>
    <w:pPr>
      <w:jc w:val="both"/>
    </w:pPr>
    <w:rPr>
      <w:kern w:val="2"/>
      <w:sz w:val="21"/>
      <w:szCs w:val="21"/>
    </w:rPr>
  </w:style>
  <w:style w:type="paragraph" w:customStyle="1" w:styleId="Default">
    <w:name w:val="Default"/>
    <w:qFormat/>
    <w:rsid w:val="00FD04DE"/>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header2.xml" Type="http://schemas.openxmlformats.org/officeDocument/2006/relationships/header"/><Relationship Id="rId11" Target="fontTable.xml" Type="http://schemas.openxmlformats.org/officeDocument/2006/relationships/fontTable"/><Relationship Id="rId12"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oter2.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8A1BB-1FCB-4050-B290-013ED83B5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388</Words>
  <Characters>2214</Characters>
  <Application>Microsoft Office Word</Application>
  <DocSecurity>0</DocSecurity>
  <Lines>18</Lines>
  <Paragraphs>5</Paragraphs>
  <ScaleCrop>false</ScaleCrop>
  <Company>微软中国</Company>
  <LinksUpToDate>false</LinksUpToDate>
  <CharactersWithSpaces>2597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2022-08-03T07:49:00Z</dcterms:created>
  <dc:creator>总行金融市场部本币投资交易部梅浩超</dc:creator>
  <cp:lastModifiedBy>yytx</cp:lastModifiedBy>
  <cp:lastPrinted>2019-09-11T00:56:00Z</cp:lastPrinted>
  <dcterms:modified xsi:type="dcterms:W3CDTF">2025-08-21T07:49:00Z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05675B71ACAB471C8C2DFDDC11AEA90C</vt:lpwstr>
  </property>
</Properties>
</file>