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adjustRightInd w:val="0"/>
        <w:snapToGrid w:val="0"/>
        <w:spacing w:line="400" w:lineRule="exact"/>
        <w:ind w:firstLine="0"/>
        <w:jc w:val="center"/>
        <w:rPr>
          <w:rFonts w:hint="eastAsia" w:eastAsia="黑体"/>
          <w:bCs/>
          <w:kern w:val="2"/>
          <w:sz w:val="32"/>
          <w:szCs w:val="32"/>
        </w:rPr>
      </w:pPr>
      <w:bookmarkStart w:id="4" w:name="_GoBack"/>
      <w:bookmarkEnd w:id="4"/>
      <w:r>
        <w:rPr>
          <w:rFonts w:hint="eastAsia" w:eastAsia="黑体"/>
          <w:bCs/>
          <w:kern w:val="2"/>
          <w:sz w:val="32"/>
          <w:szCs w:val="32"/>
        </w:rPr>
        <w:t>华夏理财</w:t>
      </w:r>
      <w:r>
        <w:rPr>
          <w:rFonts w:hint="eastAsia" w:eastAsia="黑体"/>
          <w:bCs/>
          <w:kern w:val="2"/>
          <w:sz w:val="32"/>
          <w:szCs w:val="32"/>
          <w:lang w:val="en-US" w:eastAsia="zh-CN"/>
        </w:rPr>
        <w:t>悦慧</w:t>
      </w:r>
      <w:r>
        <w:rPr>
          <w:rFonts w:hint="eastAsia" w:eastAsia="黑体"/>
          <w:bCs/>
          <w:kern w:val="2"/>
          <w:sz w:val="32"/>
          <w:szCs w:val="32"/>
        </w:rPr>
        <w:t>最短持有</w:t>
      </w:r>
      <w:r>
        <w:rPr>
          <w:rFonts w:eastAsia="黑体"/>
          <w:bCs/>
          <w:kern w:val="2"/>
          <w:sz w:val="32"/>
          <w:szCs w:val="32"/>
        </w:rPr>
        <w:t>90</w:t>
      </w:r>
      <w:r>
        <w:rPr>
          <w:rFonts w:hint="eastAsia" w:eastAsia="黑体"/>
          <w:bCs/>
          <w:kern w:val="2"/>
          <w:sz w:val="32"/>
          <w:szCs w:val="32"/>
        </w:rPr>
        <w:t>天理财产品</w:t>
      </w:r>
      <w:r>
        <w:rPr>
          <w:rFonts w:hint="eastAsia" w:eastAsia="黑体"/>
          <w:bCs/>
          <w:kern w:val="2"/>
          <w:sz w:val="32"/>
          <w:szCs w:val="32"/>
          <w:lang w:val="en-US" w:eastAsia="zh-CN"/>
        </w:rPr>
        <w:t>E</w:t>
      </w:r>
      <w:r>
        <w:rPr>
          <w:rFonts w:hint="eastAsia" w:eastAsia="黑体"/>
          <w:bCs/>
          <w:kern w:val="2"/>
          <w:sz w:val="32"/>
          <w:szCs w:val="32"/>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2"/>
          <w:szCs w:val="32"/>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一、理财非存款，产品有风险，投资须谨慎。</w:t>
            </w:r>
          </w:p>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如有</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天理财产品</w:t>
            </w:r>
            <w:r>
              <w:rPr>
                <w:rFonts w:hint="eastAsia" w:ascii="仿宋" w:hAnsi="仿宋" w:eastAsia="仿宋"/>
                <w:b/>
                <w:bCs/>
                <w:szCs w:val="21"/>
                <w:lang w:val="en-US" w:eastAsia="zh-CN"/>
              </w:rPr>
              <w:t>E</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A份额简称：“华夏理财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款A”</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M</w:t>
            </w:r>
            <w:r>
              <w:rPr>
                <w:rFonts w:hint="eastAsia" w:ascii="仿宋" w:hAnsi="仿宋" w:eastAsia="仿宋"/>
                <w:b/>
                <w:bCs/>
                <w:szCs w:val="21"/>
              </w:rPr>
              <w:t>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w:t>
            </w:r>
            <w:r>
              <w:rPr>
                <w:rFonts w:hint="eastAsia" w:ascii="仿宋" w:hAnsi="仿宋" w:eastAsia="仿宋"/>
                <w:b/>
                <w:bCs/>
                <w:szCs w:val="21"/>
                <w:lang w:val="en-US" w:eastAsia="zh-CN"/>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w:t>
            </w:r>
            <w:r>
              <w:rPr>
                <w:rFonts w:hint="eastAsia" w:ascii="仿宋" w:hAnsi="仿宋" w:eastAsia="仿宋"/>
                <w:b/>
                <w:bCs/>
                <w:szCs w:val="21"/>
                <w:lang w:val="en-US" w:eastAsia="zh-CN"/>
              </w:rPr>
              <w:t>Y</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ascii="仿宋" w:hAnsi="仿宋" w:eastAsia="仿宋"/>
                <w:bCs/>
                <w:szCs w:val="21"/>
              </w:rPr>
              <w:t>A</w:t>
            </w:r>
          </w:p>
          <w:p>
            <w:pPr>
              <w:adjustRightInd w:val="0"/>
              <w:snapToGrid w:val="0"/>
              <w:spacing w:line="300" w:lineRule="exact"/>
              <w:jc w:val="center"/>
              <w:rPr>
                <w:rFonts w:hint="eastAsia" w:ascii="仿宋" w:hAnsi="仿宋" w:eastAsia="仿宋"/>
                <w:bCs/>
                <w:szCs w:val="21"/>
                <w:lang w:eastAsia="zh-CN"/>
              </w:rPr>
            </w:pPr>
            <w:r>
              <w:rPr>
                <w:rFonts w:hint="eastAsia" w:ascii="仿宋" w:hAnsi="仿宋" w:eastAsia="仿宋"/>
                <w:bCs/>
                <w:szCs w:val="21"/>
                <w:lang w:val="en-US" w:eastAsia="zh-CN"/>
              </w:rPr>
              <w:t>M</w:t>
            </w:r>
            <w:r>
              <w:rPr>
                <w:rFonts w:hint="eastAsia" w:ascii="仿宋" w:hAnsi="仿宋" w:eastAsia="仿宋"/>
                <w:bCs/>
                <w:szCs w:val="21"/>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hint="eastAsia" w:ascii="仿宋" w:hAnsi="仿宋" w:eastAsia="仿宋"/>
                <w:bCs/>
                <w:szCs w:val="21"/>
                <w:lang w:val="en-US" w:eastAsia="zh-CN"/>
              </w:rPr>
              <w:t>M</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hint="eastAsia" w:ascii="仿宋" w:hAnsi="仿宋" w:eastAsia="仿宋"/>
                <w:bCs/>
                <w:szCs w:val="21"/>
                <w:lang w:val="en-US" w:eastAsia="zh-CN"/>
              </w:rPr>
              <w:t>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Z700392</w:t>
            </w:r>
            <w:r>
              <w:rPr>
                <w:rFonts w:hint="eastAsia" w:ascii="仿宋" w:hAnsi="仿宋" w:eastAsia="仿宋"/>
                <w:bCs/>
                <w:szCs w:val="21"/>
                <w:highlight w:val="none"/>
                <w:lang w:val="en-US" w:eastAsia="zh-CN"/>
              </w:rPr>
              <w:t>4</w:t>
            </w:r>
            <w:r>
              <w:rPr>
                <w:rFonts w:ascii="仿宋" w:hAnsi="仿宋" w:eastAsia="仿宋"/>
                <w:bCs/>
                <w:szCs w:val="21"/>
                <w:highlight w:val="none"/>
              </w:rPr>
              <w:t>000</w:t>
            </w:r>
            <w:r>
              <w:rPr>
                <w:rFonts w:hint="eastAsia" w:ascii="仿宋" w:hAnsi="仿宋" w:eastAsia="仿宋"/>
                <w:bCs/>
                <w:szCs w:val="21"/>
                <w:highlight w:val="none"/>
                <w:lang w:val="en-US" w:eastAsia="zh-CN"/>
              </w:rPr>
              <w:t>317</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业绩比较基准为1.50%-1.90%（年化）</w:t>
            </w:r>
            <w:r>
              <w:rPr>
                <w:rFonts w:hint="eastAsia" w:ascii="仿宋" w:hAnsi="仿宋" w:eastAsia="仿宋" w:cs="Cambria"/>
                <w:bCs/>
                <w:kern w:val="0"/>
                <w:szCs w:val="21"/>
                <w:lang w:eastAsia="zh-CN"/>
              </w:rPr>
              <w:t>；</w:t>
            </w:r>
            <w:r>
              <w:rPr>
                <w:rFonts w:hint="eastAsia" w:ascii="仿宋" w:hAnsi="仿宋" w:eastAsia="仿宋" w:cs="Cambria"/>
                <w:bCs/>
                <w:szCs w:val="21"/>
                <w:lang w:val="en-US" w:eastAsia="zh-CN"/>
              </w:rPr>
              <w:t>M</w:t>
            </w:r>
            <w:r>
              <w:rPr>
                <w:rFonts w:hint="eastAsia" w:ascii="仿宋" w:hAnsi="仿宋" w:eastAsia="仿宋" w:cs="Cambria"/>
                <w:bCs/>
                <w:szCs w:val="21"/>
              </w:rPr>
              <w:t>份额：</w:t>
            </w:r>
            <w:r>
              <w:rPr>
                <w:rFonts w:hint="eastAsia" w:ascii="仿宋" w:hAnsi="仿宋" w:eastAsia="仿宋" w:cs="Cambria"/>
                <w:bCs/>
                <w:kern w:val="0"/>
                <w:szCs w:val="21"/>
              </w:rPr>
              <w:t>业绩比较基准为1.45%-1.85%（年化）</w:t>
            </w:r>
            <w:r>
              <w:rPr>
                <w:rFonts w:hint="eastAsia" w:ascii="仿宋" w:hAnsi="仿宋" w:eastAsia="仿宋" w:cs="Cambria"/>
                <w:bCs/>
                <w:kern w:val="0"/>
                <w:szCs w:val="21"/>
                <w:lang w:eastAsia="zh-CN"/>
              </w:rPr>
              <w:t>；</w:t>
            </w: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cs="Cambria"/>
                <w:bCs/>
                <w:kern w:val="0"/>
                <w:szCs w:val="21"/>
              </w:rPr>
              <w:t>业绩比较基准为1.35%-1.75%（年化）。以产品投资现金等高流动性资产仓位5%-10%，存款、债券等固定收益类资产仓位80%-100%，</w:t>
            </w:r>
            <w:r>
              <w:rPr>
                <w:rFonts w:hint="eastAsia" w:ascii="仿宋" w:hAnsi="仿宋" w:eastAsia="仿宋" w:cs="Cambria"/>
                <w:bCs/>
                <w:kern w:val="0"/>
                <w:szCs w:val="21"/>
                <w:lang w:val="en-US" w:eastAsia="zh-CN"/>
              </w:rPr>
              <w:t>优先股等</w:t>
            </w:r>
            <w:r>
              <w:rPr>
                <w:rFonts w:hint="eastAsia" w:ascii="仿宋" w:hAnsi="仿宋" w:eastAsia="仿宋" w:cs="Cambria"/>
                <w:bCs/>
                <w:kern w:val="0"/>
                <w:szCs w:val="21"/>
              </w:rPr>
              <w:t>权益类资产0-20%，组合杠杆率100%-1</w:t>
            </w:r>
            <w:r>
              <w:rPr>
                <w:rFonts w:hint="eastAsia" w:ascii="仿宋" w:hAnsi="仿宋" w:eastAsia="仿宋" w:cs="Cambria"/>
                <w:bCs/>
                <w:kern w:val="0"/>
                <w:szCs w:val="21"/>
                <w:lang w:val="en-US" w:eastAsia="zh-CN"/>
              </w:rPr>
              <w:t>4</w:t>
            </w:r>
            <w:r>
              <w:rPr>
                <w:rFonts w:hint="eastAsia" w:ascii="仿宋" w:hAnsi="仿宋" w:eastAsia="仿宋" w:cs="Cambria"/>
                <w:bCs/>
                <w:kern w:val="0"/>
                <w:szCs w:val="21"/>
              </w:rPr>
              <w:t>0%为例，参考中债-信用债总财富指数、优先股资产收益率，结合产品</w:t>
            </w:r>
            <w:r>
              <w:rPr>
                <w:rFonts w:hint="eastAsia" w:ascii="仿宋" w:hAnsi="仿宋" w:eastAsia="仿宋" w:cs="Cambria"/>
                <w:bCs/>
                <w:kern w:val="0"/>
                <w:szCs w:val="21"/>
                <w:lang w:val="en-US" w:eastAsia="zh-CN"/>
              </w:rPr>
              <w:t>低波动</w:t>
            </w:r>
            <w:r>
              <w:rPr>
                <w:rFonts w:hint="eastAsia" w:ascii="仿宋" w:hAnsi="仿宋" w:eastAsia="仿宋" w:cs="Cambria"/>
                <w:bCs/>
                <w:kern w:val="0"/>
                <w:szCs w:val="21"/>
              </w:rPr>
              <w:t>投资策略并扣除各项费用后，综合测算得出上述业绩比较基准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highlight w:val="none"/>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份额净值的计算保留到小数点后</w:t>
            </w:r>
            <w:r>
              <w:rPr>
                <w:rFonts w:ascii="仿宋" w:hAnsi="仿宋" w:eastAsia="仿宋"/>
                <w:b/>
                <w:bCs w:val="0"/>
                <w:szCs w:val="21"/>
              </w:rPr>
              <w:t xml:space="preserve"> </w:t>
            </w:r>
            <w:r>
              <w:rPr>
                <w:rFonts w:hint="eastAsia" w:ascii="仿宋" w:hAnsi="仿宋" w:eastAsia="仿宋"/>
                <w:b/>
                <w:bCs w:val="0"/>
                <w:szCs w:val="21"/>
                <w:lang w:val="en-US" w:eastAsia="zh-CN"/>
              </w:rPr>
              <w:t>6</w:t>
            </w:r>
            <w:r>
              <w:rPr>
                <w:rFonts w:ascii="仿宋" w:hAnsi="仿宋" w:eastAsia="仿宋"/>
                <w:b/>
                <w:bCs w:val="0"/>
                <w:szCs w:val="21"/>
              </w:rPr>
              <w:t xml:space="preserve"> </w:t>
            </w:r>
            <w:r>
              <w:rPr>
                <w:rFonts w:hint="eastAsia" w:ascii="仿宋" w:hAnsi="仿宋" w:eastAsia="仿宋"/>
                <w:b/>
                <w:bCs w:val="0"/>
                <w:szCs w:val="21"/>
              </w:rPr>
              <w:t>位，小数点后第</w:t>
            </w:r>
            <w:r>
              <w:rPr>
                <w:rFonts w:ascii="仿宋" w:hAnsi="仿宋" w:eastAsia="仿宋"/>
                <w:b/>
                <w:bCs w:val="0"/>
                <w:szCs w:val="21"/>
              </w:rPr>
              <w:t xml:space="preserve"> </w:t>
            </w:r>
            <w:r>
              <w:rPr>
                <w:rFonts w:hint="eastAsia" w:ascii="仿宋" w:hAnsi="仿宋" w:eastAsia="仿宋"/>
                <w:b/>
                <w:bCs w:val="0"/>
                <w:szCs w:val="21"/>
                <w:lang w:val="en-US" w:eastAsia="zh-CN"/>
              </w:rPr>
              <w:t>7</w:t>
            </w:r>
            <w:r>
              <w:rPr>
                <w:rFonts w:ascii="仿宋" w:hAnsi="仿宋" w:eastAsia="仿宋"/>
                <w:b/>
                <w:bCs w:val="0"/>
                <w:szCs w:val="21"/>
              </w:rPr>
              <w:t xml:space="preserve"> </w:t>
            </w:r>
            <w:r>
              <w:rPr>
                <w:rFonts w:hint="eastAsia" w:ascii="仿宋" w:hAnsi="仿宋" w:eastAsia="仿宋"/>
                <w:b/>
                <w:bCs w:val="0"/>
                <w:szCs w:val="21"/>
              </w:rPr>
              <w:t>位四舍五入。</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szCs w:val="21"/>
                <w:highlight w:val="none"/>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highlight w:val="none"/>
              </w:rPr>
              <w:t>工作日指上海证券交易所和深圳证券交易所的交易日，且同时为银行对外办理一般对公业务的工作日</w:t>
            </w:r>
            <w:r>
              <w:rPr>
                <w:rFonts w:hint="eastAsia" w:ascii="仿宋" w:hAnsi="仿宋" w:eastAsia="仿宋"/>
                <w:bCs/>
                <w:szCs w:val="21"/>
                <w:highlight w:val="none"/>
                <w:lang w:eastAsia="zh-CN"/>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highlight w:val="none"/>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90</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90</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w:t>
            </w:r>
            <w:r>
              <w:rPr>
                <w:rFonts w:hint="eastAsia" w:ascii="仿宋" w:hAnsi="仿宋" w:eastAsia="仿宋"/>
                <w:bCs/>
                <w:szCs w:val="21"/>
              </w:rPr>
              <w:t>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2</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2</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lang w:val="en-US" w:eastAsia="zh-CN"/>
              </w:rPr>
              <w:t>M</w:t>
            </w:r>
            <w:r>
              <w:rPr>
                <w:rFonts w:hint="eastAsia" w:ascii="仿宋" w:hAnsi="仿宋" w:eastAsia="仿宋" w:cs="Cambria"/>
                <w:b/>
                <w:bCs/>
                <w:szCs w:val="21"/>
              </w:rPr>
              <w:t>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pStyle w:val="1"/>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仿宋"/>
          <w:sz w:val="24"/>
        </w:rPr>
      </w:pPr>
      <w:r>
        <w:rPr>
          <w:rFonts w:hint="eastAsia" w:ascii="仿宋" w:hAnsi="仿宋" w:eastAsia="仿宋" w:cs="仿宋"/>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认可的其他具有良好流动性的金融工具；标准化债权类资产包括但不限于国债、中央银行票据、地方政府债券、政府支持机构债券、金融债券、非金融企业债务融资工具、公司债券、企业债券、国际机构债券、</w:t>
      </w:r>
      <w:r>
        <w:rPr>
          <w:rFonts w:hint="eastAsia" w:ascii="仿宋" w:hAnsi="仿宋" w:eastAsia="仿宋" w:cs="宋体"/>
          <w:color w:val="000000"/>
          <w:kern w:val="0"/>
          <w:sz w:val="24"/>
          <w:lang w:val="en-US" w:eastAsia="zh-CN"/>
        </w:rPr>
        <w:t>可转换债券、可交换债券、永续债、</w:t>
      </w:r>
      <w:r>
        <w:rPr>
          <w:rFonts w:hint="eastAsia" w:ascii="仿宋" w:hAnsi="仿宋" w:eastAsia="仿宋" w:cs="宋体"/>
          <w:color w:val="000000"/>
          <w:kern w:val="0"/>
          <w:sz w:val="24"/>
        </w:rPr>
        <w:t>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val="en-US" w:eastAsia="zh-CN"/>
        </w:rPr>
        <w:t>本理财产品可投资结构性存款；</w:t>
      </w: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中信</w:t>
      </w:r>
      <w:r>
        <w:rPr>
          <w:rFonts w:hint="eastAsia" w:ascii="仿宋" w:hAnsi="仿宋" w:eastAsia="仿宋" w:cs="宋体"/>
          <w:color w:val="000000"/>
          <w:kern w:val="0"/>
          <w:sz w:val="24"/>
        </w:rPr>
        <w:t>银行股份有限公司。</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方合英</w:t>
      </w:r>
    </w:p>
    <w:p>
      <w:pPr>
        <w:pStyle w:val="1"/>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注册地址：北京市</w:t>
      </w:r>
      <w:r>
        <w:rPr>
          <w:rFonts w:hint="eastAsia" w:ascii="仿宋" w:hAnsi="仿宋" w:eastAsia="仿宋" w:cs="宋体"/>
          <w:color w:val="000000"/>
          <w:kern w:val="0"/>
          <w:sz w:val="24"/>
          <w:lang w:val="en-US" w:eastAsia="zh-CN"/>
        </w:rPr>
        <w:t>朝阳</w:t>
      </w:r>
      <w:r>
        <w:rPr>
          <w:rFonts w:hint="eastAsia" w:ascii="仿宋" w:hAnsi="仿宋" w:eastAsia="仿宋" w:cs="宋体"/>
          <w:color w:val="000000"/>
          <w:kern w:val="0"/>
          <w:sz w:val="24"/>
        </w:rPr>
        <w:t>区</w:t>
      </w:r>
      <w:r>
        <w:rPr>
          <w:rFonts w:hint="eastAsia" w:ascii="仿宋" w:hAnsi="仿宋" w:eastAsia="仿宋" w:cs="宋体"/>
          <w:color w:val="000000"/>
          <w:kern w:val="0"/>
          <w:sz w:val="24"/>
          <w:lang w:val="en-US" w:eastAsia="zh-CN"/>
        </w:rPr>
        <w:t>光华路10</w:t>
      </w:r>
      <w:r>
        <w:rPr>
          <w:rFonts w:hint="eastAsia" w:ascii="仿宋" w:hAnsi="仿宋" w:eastAsia="仿宋" w:cs="宋体"/>
          <w:color w:val="000000"/>
          <w:kern w:val="0"/>
          <w:sz w:val="24"/>
        </w:rPr>
        <w:t>号</w:t>
      </w:r>
      <w:r>
        <w:rPr>
          <w:rFonts w:hint="eastAsia" w:ascii="仿宋" w:hAnsi="仿宋" w:eastAsia="仿宋" w:cs="宋体"/>
          <w:color w:val="000000"/>
          <w:kern w:val="0"/>
          <w:sz w:val="24"/>
          <w:lang w:val="en-US" w:eastAsia="zh-CN"/>
        </w:rPr>
        <w:t>院1号楼6-30层、32-42层</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color w:val="000000"/>
          <w:kern w:val="0"/>
          <w:sz w:val="24"/>
          <w:highlight w:val="none"/>
        </w:rPr>
        <w:t>3</w:t>
      </w:r>
      <w:r>
        <w:rPr>
          <w:rFonts w:hint="eastAsia" w:ascii="仿宋" w:hAnsi="仿宋" w:eastAsia="仿宋" w:cs="宋体"/>
          <w:color w:val="000000"/>
          <w:kern w:val="0"/>
          <w:sz w:val="24"/>
          <w:highlight w:val="none"/>
          <w:lang w:val="en-US" w:eastAsia="zh-CN"/>
        </w:rPr>
        <w:t>.</w:t>
      </w:r>
      <w:r>
        <w:rPr>
          <w:rFonts w:hint="eastAsia" w:ascii="仿宋" w:hAnsi="仿宋" w:eastAsia="仿宋" w:cs="宋体"/>
          <w:color w:val="000000"/>
          <w:kern w:val="0"/>
          <w:sz w:val="24"/>
          <w:highlight w:val="none"/>
        </w:rPr>
        <w:t>本理财产品申购和赎回采用“未知价”原则，即本产品申购申请和赎回申请提交时，适用的产品份额净值都是未知的。适用的产品份额净值</w:t>
      </w:r>
      <w:r>
        <w:rPr>
          <w:rFonts w:hint="eastAsia" w:ascii="仿宋" w:hAnsi="仿宋" w:eastAsia="仿宋" w:cs="宋体"/>
          <w:color w:val="000000"/>
          <w:kern w:val="0"/>
          <w:sz w:val="24"/>
          <w:highlight w:val="none"/>
          <w:lang w:eastAsia="zh-CN"/>
        </w:rPr>
        <w:t>，</w:t>
      </w:r>
      <w:r>
        <w:rPr>
          <w:rFonts w:hint="eastAsia" w:ascii="仿宋" w:hAnsi="仿宋" w:eastAsia="仿宋" w:cs="宋体"/>
          <w:color w:val="000000"/>
          <w:kern w:val="0"/>
          <w:sz w:val="24"/>
          <w:highlight w:val="none"/>
          <w:lang w:val="en-US" w:eastAsia="zh-CN"/>
        </w:rPr>
        <w:t>详见“份额净值公告日”“九、信息披露”</w:t>
      </w:r>
      <w:r>
        <w:rPr>
          <w:rFonts w:hint="eastAsia" w:ascii="仿宋" w:hAnsi="仿宋" w:eastAsia="仿宋" w:cs="宋体"/>
          <w:color w:val="000000"/>
          <w:kern w:val="0"/>
          <w:sz w:val="24"/>
          <w:highlight w:val="none"/>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w:t>
      </w:r>
      <w:r>
        <w:rPr>
          <w:rFonts w:hint="eastAsia" w:eastAsia="黑体"/>
          <w:b/>
          <w:color w:val="000000"/>
          <w:sz w:val="24"/>
          <w:highlight w:val="none"/>
        </w:rPr>
        <w:t>不等于预期收益，</w:t>
      </w:r>
      <w:r>
        <w:rPr>
          <w:rFonts w:hint="eastAsia" w:eastAsia="黑体"/>
          <w:b/>
          <w:color w:val="000000"/>
          <w:sz w:val="24"/>
        </w:rPr>
        <w:t>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w:t>
      </w:r>
      <w:r>
        <w:rPr>
          <w:rFonts w:hint="eastAsia" w:ascii="仿宋" w:hAnsi="仿宋" w:eastAsia="仿宋" w:cs="仿宋"/>
          <w:highlight w:val="none"/>
        </w:rPr>
        <w:t>当估值出现错误时，</w:t>
      </w:r>
      <w:r>
        <w:rPr>
          <w:rFonts w:hint="eastAsia" w:ascii="仿宋" w:hAnsi="仿宋" w:eastAsia="仿宋" w:cs="仿宋"/>
        </w:rPr>
        <w:t>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r>
        <w:rPr>
          <w:rFonts w:hint="eastAsia" w:ascii="仿宋" w:hAnsi="仿宋" w:eastAsia="仿宋" w:cs="仿宋"/>
          <w:highlight w:val="none"/>
        </w:rPr>
        <w:t>管理人和托管人可以在法律法规允许的范围内免除赔偿责任。</w:t>
      </w:r>
      <w:r>
        <w:rPr>
          <w:rFonts w:hint="eastAsia" w:ascii="仿宋" w:hAnsi="仿宋" w:eastAsia="仿宋" w:cs="仿宋"/>
        </w:rPr>
        <w:t>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可转换债券、可交换债券投资风险（如有）：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可转换债券、可交换债券收益与对应标的股票股价直接挂钩，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可转换债券、可交换债券投资受到包括但不限于上述因素影响时，可能影响投资者收益，甚至使产品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pStyle w:val="1"/>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24135007M</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94322638"/>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94322638"/>
        <w:numPr>
          <w:ins w:id="0" w:author="张晓华" w:date="2021-07-12T15:01:00Z"/>
        </w:numPr>
        <w:spacing w:line="360" w:lineRule="exact"/>
        <w:jc w:val="left"/>
        <w:rPr>
          <w:rFonts w:hint="eastAsia"/>
        </w:rPr>
      </w:pPr>
    </w:p>
    <w:p w14:paraId="4DE92349" w14:textId="77777777" w:rsidR="00000000" w:rsidRDefault="00000000">
      <w:pPr>
        <w:pStyle w:val="94322638"/>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94322638"/>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94322638"/>
        <w:spacing w:line="360" w:lineRule="exact"/>
        <w:rPr>
          <w:rFonts w:ascii="微软简标宋" w:eastAsia="微软简标宋" w:hAnsi="宋体" w:cs="宋体" w:hint="eastAsia"/>
          <w:sz w:val="24"/>
        </w:rPr>
      </w:pPr>
    </w:p>
    <w:p w14:paraId="6A15CA0A" w14:textId="77777777" w:rsidR="00000000" w:rsidRDefault="00000000">
      <w:pPr>
        <w:pStyle w:val="94322638"/>
        <w:spacing w:line="360" w:lineRule="exact"/>
        <w:jc w:val="center"/>
        <w:rPr>
          <w:rFonts w:ascii="微软简标宋" w:eastAsia="微软简标宋" w:hAnsi="宋体" w:cs="宋体" w:hint="eastAsia"/>
          <w:sz w:val="24"/>
        </w:rPr>
      </w:pPr>
    </w:p>
    <w:p w14:paraId="60F4CA28" w14:textId="77777777" w:rsidR="00000000" w:rsidRDefault="00000000">
      <w:pPr>
        <w:pStyle w:val="94322638"/>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94322638"/>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94322638"/>
        <w:spacing w:line="360" w:lineRule="exact"/>
        <w:ind w:left="180" w:firstLineChars="200" w:firstLine="420"/>
        <w:rPr>
          <w:rFonts w:ascii="微软简仿宋" w:eastAsia="微软简仿宋" w:hint="eastAsia"/>
          <w:szCs w:val="21"/>
        </w:rPr>
      </w:pPr>
    </w:p>
    <w:p w14:paraId="20DC3CDD" w14:textId="77777777" w:rsidR="00000000" w:rsidRDefault="00000000">
      <w:pPr>
        <w:pStyle w:val="94322638"/>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94322638"/>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c0837e54"/>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94322638"/>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94322638"/>
        <w:rPr>
          <w:rFonts w:ascii="微软简仿宋" w:eastAsia="微软简仿宋" w:hint="eastAsia"/>
          <w:b/>
          <w:bCs/>
          <w:szCs w:val="21"/>
        </w:rPr>
      </w:pPr>
    </w:p>
    <w:p w14:paraId="695A3120" w14:textId="77777777" w:rsidR="00000000" w:rsidRDefault="00000000">
      <w:pPr>
        <w:pStyle w:val="94322638"/>
        <w:rPr>
          <w:rFonts w:ascii="微软简仿宋" w:eastAsia="微软简仿宋" w:hint="eastAsia"/>
          <w:b/>
          <w:bCs/>
          <w:szCs w:val="21"/>
        </w:rPr>
      </w:pPr>
    </w:p>
    <w:p w14:paraId="441B80B3" w14:textId="77777777" w:rsidR="00000000" w:rsidRDefault="00000000">
      <w:pPr>
        <w:pStyle w:val="94322638"/>
        <w:rPr>
          <w:rFonts w:ascii="微软简仿宋" w:eastAsia="微软简仿宋" w:hint="eastAsia"/>
          <w:b/>
          <w:bCs/>
          <w:szCs w:val="21"/>
        </w:rPr>
      </w:pPr>
    </w:p>
    <w:p w14:paraId="6E253854" w14:textId="77777777" w:rsidR="00000000" w:rsidRDefault="00000000">
      <w:pPr>
        <w:pStyle w:val="94322638"/>
        <w:rPr>
          <w:rFonts w:ascii="微软简仿宋" w:eastAsia="微软简仿宋" w:hint="eastAsia"/>
          <w:b/>
          <w:bCs/>
          <w:szCs w:val="21"/>
        </w:rPr>
      </w:pPr>
    </w:p>
    <w:p w14:paraId="24EEDE89" w14:textId="77777777" w:rsidR="00000000" w:rsidRDefault="00000000">
      <w:pPr>
        <w:pStyle w:val="94322638"/>
        <w:rPr>
          <w:rFonts w:ascii="微软简仿宋" w:eastAsia="微软简仿宋" w:hint="eastAsia"/>
          <w:b/>
          <w:bCs/>
          <w:szCs w:val="21"/>
        </w:rPr>
      </w:pPr>
    </w:p>
    <w:p w14:paraId="7ADBF686" w14:textId="77777777" w:rsidR="006D7546" w:rsidRDefault="00000000">
      <w:pPr>
        <w:pStyle w:val="94322638"/>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94322638"/>
        <w:pageBreakBefore w:val="true"/>
      </w:pPr>
    </w:p>
    <w:p w14:paraId="69997647" w14:textId="06CF27DE" w:rsidR="0074532A" w:rsidRDefault="0054018B">
      <w:pPr>
        <w:pStyle w:val="0a5bfed6"/>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0a5bfed6"/>
        <w:spacing w:line="360" w:lineRule="auto"/>
        <w:jc w:val="center"/>
        <w:rPr>
          <w:rFonts w:ascii="微软简标宋" w:eastAsia="微软简标宋"/>
          <w:b/>
          <w:sz w:val="32"/>
          <w:szCs w:val="21"/>
        </w:rPr>
      </w:pPr>
    </w:p>
    <w:p w14:paraId="2FC2DCEC" w14:textId="77777777" w:rsidR="0074532A" w:rsidRDefault="00000000">
      <w:pPr>
        <w:pStyle w:val="0a5bfed6"/>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0a5bfed6"/>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0a5bfed6"/>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0a5bfed6"/>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0a5bfed6"/>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0a5bfed6"/>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0a5bfed6"/>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0a5bfed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0a5bfed6"/>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0a5bfed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0a5bfed6"/>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0a5bfed6"/>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0a5bfed6"/>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0a5bfed6"/>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0a5bfed6"/>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0a5bfed6"/>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0a5bfed6"/>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0a5bfed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0a5bfed6"/>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0a5bfed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0a5bfed6"/>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0a5bfed6"/>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0a5bfed6"/>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0a5bfed6"/>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0a5bfed6"/>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0a5bfed6"/>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0a5bfed6"/>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0a5bfed6"/>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0a5bfed6"/>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0a5bfed6"/>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0a5bfed6"/>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0a5bfed6"/>
        <w:adjustRightInd w:val="0"/>
        <w:snapToGrid w:val="0"/>
        <w:spacing w:line="360" w:lineRule="auto"/>
        <w:ind w:firstLineChars="200" w:firstLine="420"/>
      </w:pPr>
    </w:p>
    <w:p w14:paraId="53F741B5" w14:textId="77777777" w:rsidR="0074532A" w:rsidRDefault="00000000">
      <w:pPr>
        <w:pStyle w:val="0a5bfed6"/>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0a5bfed6"/>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0a5bfed6"/>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0a5bfed6"/>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0a5bfed6"/>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0a5bfed6"/>
        <w:pageBreakBefore w:val="true"/>
      </w:pPr>
    </w:p>
    <w:p>
      <w:pPr>
        <w:pStyle w:val="90286acb"/>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90286acb"/>
        <w:snapToGrid w:val="0"/>
        <w:spacing w:line="276" w:lineRule="auto"/>
        <w:jc w:val="center"/>
        <w:rPr>
          <w:rFonts w:ascii="Times New Roman" w:hAnsi="Times New Roman" w:eastAsia="仿宋_GB2312"/>
          <w:szCs w:val="21"/>
        </w:rPr>
      </w:pPr>
    </w:p>
    <w:p>
      <w:pPr>
        <w:pStyle w:val="90286ac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90286ac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90286acb"/>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90286acb"/>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90286ac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90286acb"/>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90286ac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90286ac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90286ac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90286acb"/>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90286acb"/>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90286acb"/>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90286acb"/>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90286acb"/>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90286acb"/>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90286acb"/>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90286acb"/>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90286acb"/>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90286acb"/>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90286ac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90286acb"/>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90286ac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90286acb"/>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90286acb"/>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90286acb"/>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26057922"/>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90286acb"/>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90286acb"/>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90286acb"/>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90286acb"/>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90286ac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90286acb"/>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90286acb"/>
        <w:autoSpaceDE w:val="0"/>
        <w:autoSpaceDN w:val="0"/>
        <w:adjustRightInd w:val="0"/>
        <w:snapToGrid w:val="0"/>
        <w:spacing w:line="276" w:lineRule="auto"/>
        <w:ind w:firstLine="420" w:firstLineChars="200"/>
        <w:rPr>
          <w:rFonts w:hint="default" w:ascii="Times New Roman" w:hAnsi="Times New Roman"/>
          <w:szCs w:val="21"/>
        </w:rPr>
      </w:pPr>
    </w:p>
    <w:p>
      <w:pPr>
        <w:pStyle w:val="90286acb"/>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90286acb"/>
        <w:spacing w:line="276" w:lineRule="auto"/>
        <w:ind w:left="7440" w:hanging="7440"/>
        <w:rPr>
          <w:rFonts w:ascii="Times New Roman" w:hAnsi="Times New Roman"/>
          <w:sz w:val="24"/>
        </w:rPr>
      </w:pPr>
    </w:p>
    <w:p>
      <w:pPr>
        <w:pStyle w:val="90286acb"/>
        <w:spacing w:line="276" w:lineRule="auto"/>
        <w:ind w:left="7440" w:hanging="7440"/>
        <w:rPr>
          <w:rFonts w:ascii="Times New Roman" w:hAnsi="Times New Roman"/>
          <w:szCs w:val="21"/>
        </w:rPr>
      </w:pPr>
    </w:p>
    <w:p>
      <w:pPr>
        <w:pStyle w:val="90286acb"/>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90286acb"/>
        <w:spacing w:line="276" w:lineRule="auto"/>
        <w:rPr>
          <w:rFonts w:ascii="Times New Roman" w:hAnsi="Times New Roman"/>
          <w:szCs w:val="21"/>
        </w:rPr>
      </w:pPr>
    </w:p>
    <w:p>
      <w:pPr>
        <w:pStyle w:val="90286acb"/>
        <w:spacing w:line="276" w:lineRule="auto"/>
        <w:rPr>
          <w:rFonts w:ascii="Times New Roman" w:hAnsi="Times New Roman"/>
          <w:szCs w:val="21"/>
        </w:rPr>
      </w:pPr>
    </w:p>
    <w:p>
      <w:pPr>
        <w:pStyle w:val="90286acb"/>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Strong14"/>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Emphasis1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6">
    <w:name w:val="HTML Definition16"/>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7">
    <w:name w:val="HTML Acronym17"/>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8">
    <w:name w:val="HTML Variable18"/>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9">
    <w:name w:val="HTML Code19"/>
    <w:qFormat/>
    <w:uiPriority w:val="0"/>
    <w:rPr>
      <w:rFonts w:ascii="Courier New" w:hAnsi="Courier New"/>
      <w:sz w:val="20"/>
      <w:shd w:val="clear" w:color="auto" w:fill="FFFF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0">
    <w:name w:val="HTML Cite20"/>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正文 A21"/>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2">
    <w:name w:val="Default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3">
    <w:name w:val="YJH-nei23"/>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4">
    <w:name w:val="p024"/>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
    <w:name w:val="leftmenu-morenav25"/>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6">
    <w:name w:val="disabled26"/>
    <w:qFormat/>
    <w:uiPriority w:val="0"/>
    <w:rPr>
      <w:color w:val="CCCCCC"/>
      <w:bdr w:val="single" w:color="CCCCCC" w:sz="6" w:space="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
    <w:name w:val="font1127"/>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8">
    <w:name w:val="current28"/>
    <w:qFormat/>
    <w:uiPriority w:val="0"/>
    <w:rPr>
      <w:color w:val="FFFFFF"/>
      <w:bdr w:val="single" w:color="8DB5D7" w:sz="6" w:space="0"/>
      <w:shd w:val="clear" w:color="auto" w:fill="0080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9">
    <w:name w:val="font5129"/>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
    <w:name w:val="font813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1">
    <w:name w:val="font0131"/>
    <w:qFormat/>
    <w:uiPriority w:val="0"/>
    <w:rPr>
      <w:rFonts w:hint="default" w:ascii="Times New Roman" w:hAnsi="Times New Roman" w:cs="Times New Roman"/>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4322638">
    <w:name w:val="Normal94322638"/>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2f838df">
    <w:name w:val="Default Paragraph Font82f838df"/>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778b625">
    <w:name w:val="Normal Table1778b625"/>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5fdb6123">
    <w:name w:val="No List5fdb6123"/>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d8cbe64">
    <w:name w:val="批注文字 字符5d8cbe64"/>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82f838d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f5103b5">
    <w:name w:val="Strongcf5103b5"/>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52844fb">
    <w:name w:val="页脚 字符b52844fb"/>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82f838d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a76496b">
    <w:name w:val="annotation referenceda76496b"/>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4aaf22e">
    <w:name w:val="page number54aaf22e"/>
    <w:basedOn w:val="82f838df"/>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0837e54">
    <w:name w:val="Hyperlinkc0837e54"/>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5b8de73">
    <w:name w:val="页眉 字符b5b8de7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48f8688">
    <w:name w:val="Emphasisc48f8688"/>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c502b6e">
    <w:name w:val="footer0c502b6e"/>
    <w:basedOn w:val="94322638"/>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d07b38b">
    <w:name w:val="header0d07b38b"/>
    <w:basedOn w:val="94322638"/>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e3a1ccb">
    <w:name w:val="Char Char Char Char Char Char Char Char Char Char Char Charae3a1ccb"/>
    <w:basedOn w:val="94322638"/>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94322638"/>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1c5cff">
    <w:name w:val="annotation texta81c5cff"/>
    <w:basedOn w:val="94322638"/>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a81c5cff"/>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2f2913b0">
    <w:name w:val="Default2f2913b0"/>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a5bfed6">
    <w:name w:val="Normal0a5bfed6"/>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78ff49f">
    <w:name w:val="heading 1178ff49f"/>
    <w:basedOn w:val="0a5bfed6"/>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d7d3442">
    <w:name w:val="heading 20d7d3442"/>
    <w:basedOn w:val="0a5bfed6"/>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226941f">
    <w:name w:val="heading 32226941f"/>
    <w:basedOn w:val="0a5bfed6"/>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008f8b1">
    <w:name w:val="Default Paragraph Font8008f8b1"/>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ee166e3">
    <w:name w:val="Normal Table1ee166e3"/>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1f05dc6">
    <w:name w:val="No List31f05dc6"/>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36f2de1">
    <w:name w:val="标题 1 字符c36f2de1"/>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c5f3aad">
    <w:name w:val="标题 2 字符9c5f3aad"/>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57b821b">
    <w:name w:val="标题 3 字符857b821b"/>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23069a1">
    <w:name w:val="annotation text623069a1"/>
    <w:basedOn w:val="0a5bfed6"/>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d3fc6d8">
    <w:name w:val="批注文字 字符dd3fc6d8"/>
    <w:basedOn w:val="8008f8b1"/>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7d873cf">
    <w:name w:val="Balloon Text07d873cf"/>
    <w:basedOn w:val="0a5bfed6"/>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0eb4a4c">
    <w:name w:val="批注框文本 字符90eb4a4c"/>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fbff6bb">
    <w:name w:val="footer2fbff6bb"/>
    <w:basedOn w:val="0a5bfed6"/>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8a8a629">
    <w:name w:val="页脚 字符48a8a629"/>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979bd69">
    <w:name w:val="headere979bd69"/>
    <w:basedOn w:val="0a5bfed6"/>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1e341fa">
    <w:name w:val="页眉 字符a1e341fa"/>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fac30b4">
    <w:name w:val="Normal (Web)0fac30b4"/>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d3a03b3">
    <w:name w:val="annotation subject4d3a03b3"/>
    <w:basedOn w:val="623069a1"/>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b0ebfe2">
    <w:name w:val="批注主题 字符db0ebfe2"/>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75bff277">
    <w:name w:val="annotation reference75bff277"/>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303ffe2">
    <w:name w:val="Char Char Char Char Char Char Char Char Char Char Char Char9303ffe2"/>
    <w:basedOn w:val="0a5bfed6"/>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0286acb">
    <w:name w:val="Normal90286acb"/>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cf91c22d">
    <w:name w:val="Default Paragraph Fontcf91c22d"/>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45a4ead5">
    <w:name w:val="Normal Table45a4ead5"/>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59b2bf6">
    <w:name w:val="annotation texta59b2bf6"/>
    <w:basedOn w:val="90286acb"/>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df106f8">
    <w:name w:val="Balloon Textadf106f8"/>
    <w:basedOn w:val="90286acb"/>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c43c702">
    <w:name w:val="footer4c43c702"/>
    <w:basedOn w:val="90286acb"/>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63dcaac">
    <w:name w:val="header463dcaac"/>
    <w:basedOn w:val="90286acb"/>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0dc66cfc">
    <w:name w:val="annotation subject0dc66cfc"/>
    <w:basedOn w:val="a59b2bf6"/>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e7faa03c">
    <w:name w:val="Stronge7faa03c"/>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738e586b">
    <w:name w:val="page number738e586b"/>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6057922">
    <w:name w:val="Hyperlink26057922"/>
    <w:basedOn w:val="cf91c22d"/>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d56ad1be">
    <w:name w:val="annotation referenced56ad1be"/>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d7e0aa">
    <w:name w:val="批注文字 字符122d7e0aa"/>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a94d309">
    <w:name w:val="批注框文本 字符5a94d309"/>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b3e0177">
    <w:name w:val="页脚 字符3b3e0177"/>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d07b49">
    <w:name w:val="页眉 字符125d07b49"/>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e0af3c7f">
    <w:name w:val="批注主题 字符e0af3c7f"/>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5049c61">
    <w:name w:val="页眉 字符15049c61"/>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ced8776">
    <w:name w:val="批注文字 字符cced8776"/>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dca81fd9">
    <w:name w:val="_Style 18dca81fd9"/>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96dc2a0b">
    <w:name w:val="彩色底纹 - 强调文字颜色 1196dc2a0b"/>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2025-08-07T06:39:01Z</dcterms:created>
  <dc:creator>Apache POI</dc:creator>
</cp:coreProperties>
</file>