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2"/>
          <w:szCs w:val="32"/>
        </w:rPr>
      </w:pPr>
      <w:bookmarkStart w:id="4" w:name="_GoBack"/>
      <w:bookmarkEnd w:id="4"/>
      <w:r>
        <w:rPr>
          <w:rFonts w:hint="eastAsia" w:eastAsia="黑体"/>
          <w:bCs/>
          <w:kern w:val="2"/>
          <w:sz w:val="32"/>
          <w:szCs w:val="32"/>
        </w:rPr>
        <w:t>华夏理财</w:t>
      </w:r>
      <w:r>
        <w:rPr>
          <w:rFonts w:hint="eastAsia" w:eastAsia="黑体"/>
          <w:bCs/>
          <w:kern w:val="2"/>
          <w:sz w:val="32"/>
          <w:szCs w:val="32"/>
          <w:lang w:val="en-US" w:eastAsia="zh-CN"/>
        </w:rPr>
        <w:t>悦慧</w:t>
      </w:r>
      <w:r>
        <w:rPr>
          <w:rFonts w:hint="eastAsia" w:eastAsia="黑体"/>
          <w:bCs/>
          <w:kern w:val="2"/>
          <w:sz w:val="32"/>
          <w:szCs w:val="32"/>
        </w:rPr>
        <w:t>最短持有</w:t>
      </w:r>
      <w:r>
        <w:rPr>
          <w:rFonts w:eastAsia="黑体"/>
          <w:bCs/>
          <w:kern w:val="2"/>
          <w:sz w:val="32"/>
          <w:szCs w:val="32"/>
        </w:rPr>
        <w:t>90</w:t>
      </w:r>
      <w:r>
        <w:rPr>
          <w:rFonts w:hint="eastAsia" w:eastAsia="黑体"/>
          <w:bCs/>
          <w:kern w:val="2"/>
          <w:sz w:val="32"/>
          <w:szCs w:val="32"/>
        </w:rPr>
        <w:t>天理财产品</w:t>
      </w:r>
      <w:r>
        <w:rPr>
          <w:rFonts w:hint="eastAsia" w:eastAsia="黑体"/>
          <w:bCs/>
          <w:kern w:val="2"/>
          <w:sz w:val="32"/>
          <w:szCs w:val="32"/>
          <w:lang w:val="en-US" w:eastAsia="zh-CN"/>
        </w:rPr>
        <w:t>E</w:t>
      </w:r>
      <w:r>
        <w:rPr>
          <w:rFonts w:hint="eastAsia" w:eastAsia="黑体"/>
          <w:bCs/>
          <w:kern w:val="2"/>
          <w:sz w:val="32"/>
          <w:szCs w:val="32"/>
        </w:rPr>
        <w:t>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2"/>
          <w:szCs w:val="32"/>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cs="黑体"/>
                <w:b/>
                <w:bCs w:val="0"/>
                <w:sz w:val="28"/>
                <w:szCs w:val="28"/>
                <w:highlight w:val="none"/>
                <w:u w:val="single"/>
              </w:rPr>
            </w:pPr>
            <w:r>
              <w:rPr>
                <w:rFonts w:hint="eastAsia" w:ascii="黑体" w:hAnsi="黑体" w:eastAsia="黑体" w:cs="黑体"/>
                <w:b/>
                <w:bCs w:val="0"/>
                <w:sz w:val="28"/>
                <w:szCs w:val="28"/>
                <w:highlight w:val="none"/>
                <w:u w:val="single"/>
              </w:rPr>
              <w:t>一、理财非存款，产品有风险，投资须谨慎。</w:t>
            </w:r>
          </w:p>
          <w:p>
            <w:pPr>
              <w:adjustRightInd w:val="0"/>
              <w:snapToGrid w:val="0"/>
              <w:spacing w:line="400" w:lineRule="exact"/>
              <w:ind w:left="343" w:right="189" w:rightChars="90"/>
              <w:rPr>
                <w:rFonts w:hint="eastAsia" w:ascii="黑体" w:hAnsi="黑体" w:eastAsia="黑体" w:cs="黑体"/>
                <w:b/>
                <w:bCs w:val="0"/>
                <w:sz w:val="28"/>
                <w:szCs w:val="28"/>
                <w:highlight w:val="none"/>
                <w:u w:val="single"/>
              </w:rPr>
            </w:pPr>
            <w:r>
              <w:rPr>
                <w:rFonts w:hint="eastAsia" w:ascii="黑体" w:hAnsi="黑体" w:eastAsia="黑体" w:cs="黑体"/>
                <w:b/>
                <w:bCs w:val="0"/>
                <w:sz w:val="28"/>
                <w:szCs w:val="28"/>
                <w:highlight w:val="none"/>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cs="黑体"/>
                <w:b/>
                <w:bCs w:val="0"/>
                <w:sz w:val="28"/>
                <w:szCs w:val="28"/>
                <w:highlight w:val="none"/>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cs="黑体"/>
                <w:b/>
                <w:bCs w:val="0"/>
                <w:sz w:val="28"/>
                <w:szCs w:val="28"/>
                <w:highlight w:val="none"/>
                <w:u w:val="single"/>
                <w:lang w:eastAsia="zh-CN"/>
              </w:rPr>
              <w:t>（</w:t>
            </w:r>
            <w:r>
              <w:rPr>
                <w:rFonts w:hint="eastAsia" w:ascii="黑体" w:hAnsi="黑体" w:eastAsia="黑体" w:cs="黑体"/>
                <w:b/>
                <w:bCs w:val="0"/>
                <w:sz w:val="28"/>
                <w:szCs w:val="28"/>
                <w:highlight w:val="none"/>
                <w:u w:val="single"/>
              </w:rPr>
              <w:t>如有</w:t>
            </w:r>
            <w:r>
              <w:rPr>
                <w:rFonts w:hint="eastAsia" w:ascii="黑体" w:hAnsi="黑体" w:eastAsia="黑体" w:cs="黑体"/>
                <w:b/>
                <w:bCs w:val="0"/>
                <w:sz w:val="28"/>
                <w:szCs w:val="28"/>
                <w:highlight w:val="none"/>
                <w:u w:val="single"/>
                <w:lang w:eastAsia="zh-CN"/>
              </w:rPr>
              <w:t>）</w:t>
            </w:r>
            <w:r>
              <w:rPr>
                <w:rFonts w:hint="eastAsia" w:ascii="黑体" w:hAnsi="黑体" w:eastAsia="黑体" w:cs="黑体"/>
                <w:b/>
                <w:bCs w:val="0"/>
                <w:sz w:val="28"/>
                <w:szCs w:val="28"/>
                <w:highlight w:val="none"/>
                <w:u w:val="single"/>
              </w:rPr>
              <w:t>不是预期收益率，不代表产品的未来表现和实际收益，不构成管理人对产品收益的承诺，投资者所能获得的最终收益以管理人根据本理财产品的投资运作情况实际支付给投资者的收益为准。</w:t>
            </w: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cs="黑体"/>
                <w:b/>
                <w:bCs w:val="0"/>
                <w:sz w:val="28"/>
                <w:szCs w:val="28"/>
                <w:highlight w:val="none"/>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w:t>
            </w:r>
            <w:r>
              <w:rPr>
                <w:rFonts w:hint="eastAsia" w:ascii="仿宋" w:hAnsi="仿宋" w:eastAsia="仿宋"/>
                <w:b/>
                <w:bCs/>
                <w:szCs w:val="21"/>
                <w:lang w:val="en-US" w:eastAsia="zh-CN"/>
              </w:rPr>
              <w:t>悦慧</w:t>
            </w:r>
            <w:r>
              <w:rPr>
                <w:rFonts w:hint="eastAsia" w:ascii="仿宋" w:hAnsi="仿宋" w:eastAsia="仿宋"/>
                <w:b/>
                <w:bCs/>
                <w:szCs w:val="21"/>
              </w:rPr>
              <w:t>最短持有</w:t>
            </w:r>
            <w:r>
              <w:rPr>
                <w:rFonts w:ascii="仿宋" w:hAnsi="仿宋" w:eastAsia="仿宋"/>
                <w:b/>
                <w:bCs/>
                <w:szCs w:val="21"/>
              </w:rPr>
              <w:t>90</w:t>
            </w:r>
            <w:r>
              <w:rPr>
                <w:rFonts w:hint="eastAsia" w:ascii="仿宋" w:hAnsi="仿宋" w:eastAsia="仿宋"/>
                <w:b/>
                <w:bCs/>
                <w:szCs w:val="21"/>
              </w:rPr>
              <w:t>天理财产品</w:t>
            </w:r>
            <w:r>
              <w:rPr>
                <w:rFonts w:hint="eastAsia" w:ascii="仿宋" w:hAnsi="仿宋" w:eastAsia="仿宋"/>
                <w:b/>
                <w:bCs/>
                <w:szCs w:val="21"/>
                <w:lang w:val="en-US" w:eastAsia="zh-CN"/>
              </w:rPr>
              <w:t>E</w:t>
            </w:r>
            <w:r>
              <w:rPr>
                <w:rFonts w:hint="eastAsia" w:ascii="仿宋" w:hAnsi="仿宋" w:eastAsia="仿宋"/>
                <w:b/>
                <w:bCs/>
                <w:szCs w:val="21"/>
              </w:rPr>
              <w:t>款</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rPr>
              <w:t>A份额简称：“华夏理财</w:t>
            </w:r>
            <w:r>
              <w:rPr>
                <w:rFonts w:hint="eastAsia" w:ascii="仿宋" w:hAnsi="仿宋" w:eastAsia="仿宋"/>
                <w:b/>
                <w:bCs/>
                <w:szCs w:val="21"/>
                <w:lang w:val="en-US" w:eastAsia="zh-CN"/>
              </w:rPr>
              <w:t>悦慧</w:t>
            </w:r>
            <w:r>
              <w:rPr>
                <w:rFonts w:hint="eastAsia" w:ascii="仿宋" w:hAnsi="仿宋" w:eastAsia="仿宋"/>
                <w:b/>
                <w:bCs/>
                <w:szCs w:val="21"/>
              </w:rPr>
              <w:t>最短持有</w:t>
            </w:r>
            <w:r>
              <w:rPr>
                <w:rFonts w:ascii="仿宋" w:hAnsi="仿宋" w:eastAsia="仿宋"/>
                <w:b/>
                <w:bCs/>
                <w:szCs w:val="21"/>
              </w:rPr>
              <w:t>90</w:t>
            </w:r>
            <w:r>
              <w:rPr>
                <w:rFonts w:hint="eastAsia" w:ascii="仿宋" w:hAnsi="仿宋" w:eastAsia="仿宋"/>
                <w:b/>
                <w:bCs/>
                <w:szCs w:val="21"/>
              </w:rPr>
              <w:t>天</w:t>
            </w:r>
            <w:r>
              <w:rPr>
                <w:rFonts w:hint="eastAsia" w:ascii="仿宋" w:hAnsi="仿宋" w:eastAsia="仿宋"/>
                <w:b/>
                <w:bCs/>
                <w:szCs w:val="21"/>
                <w:lang w:val="en-US" w:eastAsia="zh-CN"/>
              </w:rPr>
              <w:t>E</w:t>
            </w:r>
            <w:r>
              <w:rPr>
                <w:rFonts w:hint="eastAsia" w:ascii="仿宋" w:hAnsi="仿宋" w:eastAsia="仿宋"/>
                <w:b/>
                <w:bCs/>
                <w:szCs w:val="21"/>
              </w:rPr>
              <w:t>款A”</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M</w:t>
            </w:r>
            <w:r>
              <w:rPr>
                <w:rFonts w:hint="eastAsia" w:ascii="仿宋" w:hAnsi="仿宋" w:eastAsia="仿宋"/>
                <w:b/>
                <w:bCs/>
                <w:szCs w:val="21"/>
              </w:rPr>
              <w:t>份额简称：“华夏理财</w:t>
            </w:r>
            <w:r>
              <w:rPr>
                <w:rFonts w:hint="eastAsia" w:ascii="仿宋" w:hAnsi="仿宋" w:eastAsia="仿宋"/>
                <w:b/>
                <w:bCs/>
                <w:szCs w:val="21"/>
                <w:lang w:val="en-US" w:eastAsia="zh-CN"/>
              </w:rPr>
              <w:t>悦慧</w:t>
            </w:r>
            <w:r>
              <w:rPr>
                <w:rFonts w:hint="eastAsia" w:ascii="仿宋" w:hAnsi="仿宋" w:eastAsia="仿宋"/>
                <w:b/>
                <w:bCs/>
                <w:szCs w:val="21"/>
              </w:rPr>
              <w:t>最短持有</w:t>
            </w:r>
            <w:r>
              <w:rPr>
                <w:rFonts w:ascii="仿宋" w:hAnsi="仿宋" w:eastAsia="仿宋"/>
                <w:b/>
                <w:bCs/>
                <w:szCs w:val="21"/>
              </w:rPr>
              <w:t>90</w:t>
            </w:r>
            <w:r>
              <w:rPr>
                <w:rFonts w:hint="eastAsia" w:ascii="仿宋" w:hAnsi="仿宋" w:eastAsia="仿宋"/>
                <w:b/>
                <w:bCs/>
                <w:szCs w:val="21"/>
              </w:rPr>
              <w:t>天</w:t>
            </w:r>
            <w:r>
              <w:rPr>
                <w:rFonts w:hint="eastAsia" w:ascii="仿宋" w:hAnsi="仿宋" w:eastAsia="仿宋"/>
                <w:b/>
                <w:bCs/>
                <w:szCs w:val="21"/>
                <w:lang w:val="en-US" w:eastAsia="zh-CN"/>
              </w:rPr>
              <w:t>E</w:t>
            </w:r>
            <w:r>
              <w:rPr>
                <w:rFonts w:hint="eastAsia" w:ascii="仿宋" w:hAnsi="仿宋" w:eastAsia="仿宋"/>
                <w:b/>
                <w:bCs/>
                <w:szCs w:val="21"/>
              </w:rPr>
              <w:t>款</w:t>
            </w:r>
            <w:r>
              <w:rPr>
                <w:rFonts w:hint="eastAsia" w:ascii="仿宋" w:hAnsi="仿宋" w:eastAsia="仿宋"/>
                <w:b/>
                <w:bCs/>
                <w:szCs w:val="21"/>
                <w:lang w:val="en-US" w:eastAsia="zh-CN"/>
              </w:rPr>
              <w:t>M</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Y</w:t>
            </w:r>
            <w:r>
              <w:rPr>
                <w:rFonts w:hint="eastAsia" w:ascii="仿宋" w:hAnsi="仿宋" w:eastAsia="仿宋"/>
                <w:b/>
                <w:bCs/>
                <w:szCs w:val="21"/>
              </w:rPr>
              <w:t>份额简称：“华夏理财</w:t>
            </w:r>
            <w:r>
              <w:rPr>
                <w:rFonts w:hint="eastAsia" w:ascii="仿宋" w:hAnsi="仿宋" w:eastAsia="仿宋"/>
                <w:b/>
                <w:bCs/>
                <w:szCs w:val="21"/>
                <w:lang w:val="en-US" w:eastAsia="zh-CN"/>
              </w:rPr>
              <w:t>悦慧</w:t>
            </w:r>
            <w:r>
              <w:rPr>
                <w:rFonts w:hint="eastAsia" w:ascii="仿宋" w:hAnsi="仿宋" w:eastAsia="仿宋"/>
                <w:b/>
                <w:bCs/>
                <w:szCs w:val="21"/>
              </w:rPr>
              <w:t>最短持有</w:t>
            </w:r>
            <w:r>
              <w:rPr>
                <w:rFonts w:ascii="仿宋" w:hAnsi="仿宋" w:eastAsia="仿宋"/>
                <w:b/>
                <w:bCs/>
                <w:szCs w:val="21"/>
              </w:rPr>
              <w:t>90</w:t>
            </w:r>
            <w:r>
              <w:rPr>
                <w:rFonts w:hint="eastAsia" w:ascii="仿宋" w:hAnsi="仿宋" w:eastAsia="仿宋"/>
                <w:b/>
                <w:bCs/>
                <w:szCs w:val="21"/>
              </w:rPr>
              <w:t>天</w:t>
            </w:r>
            <w:r>
              <w:rPr>
                <w:rFonts w:hint="eastAsia" w:ascii="仿宋" w:hAnsi="仿宋" w:eastAsia="仿宋"/>
                <w:b/>
                <w:bCs/>
                <w:szCs w:val="21"/>
                <w:lang w:val="en-US" w:eastAsia="zh-CN"/>
              </w:rPr>
              <w:t>E</w:t>
            </w:r>
            <w:r>
              <w:rPr>
                <w:rFonts w:hint="eastAsia" w:ascii="仿宋" w:hAnsi="仿宋" w:eastAsia="仿宋"/>
                <w:b/>
                <w:bCs/>
                <w:szCs w:val="21"/>
              </w:rPr>
              <w:t>款</w:t>
            </w:r>
            <w:r>
              <w:rPr>
                <w:rFonts w:hint="eastAsia" w:ascii="仿宋" w:hAnsi="仿宋" w:eastAsia="仿宋"/>
                <w:b/>
                <w:bCs/>
                <w:szCs w:val="21"/>
                <w:lang w:val="en-US" w:eastAsia="zh-CN"/>
              </w:rPr>
              <w:t>Y</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1350</w:t>
            </w:r>
            <w:r>
              <w:rPr>
                <w:rFonts w:hint="eastAsia" w:ascii="仿宋" w:hAnsi="仿宋" w:eastAsia="仿宋"/>
                <w:bCs/>
                <w:szCs w:val="21"/>
                <w:highlight w:val="none"/>
                <w:lang w:val="en-US" w:eastAsia="zh-CN"/>
              </w:rPr>
              <w:t>07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w:t>
            </w: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1350</w:t>
            </w:r>
            <w:r>
              <w:rPr>
                <w:rFonts w:hint="eastAsia" w:ascii="仿宋" w:hAnsi="仿宋" w:eastAsia="仿宋"/>
                <w:bCs/>
                <w:szCs w:val="21"/>
                <w:highlight w:val="none"/>
                <w:lang w:val="en-US" w:eastAsia="zh-CN"/>
              </w:rPr>
              <w:t>07</w:t>
            </w:r>
            <w:r>
              <w:rPr>
                <w:rFonts w:ascii="仿宋" w:hAnsi="仿宋" w:eastAsia="仿宋"/>
                <w:bCs/>
                <w:szCs w:val="21"/>
              </w:rPr>
              <w:t>A</w:t>
            </w:r>
          </w:p>
          <w:p>
            <w:pPr>
              <w:adjustRightInd w:val="0"/>
              <w:snapToGrid w:val="0"/>
              <w:spacing w:line="300" w:lineRule="exact"/>
              <w:jc w:val="center"/>
              <w:rPr>
                <w:rFonts w:hint="eastAsia" w:ascii="仿宋" w:hAnsi="仿宋" w:eastAsia="仿宋"/>
                <w:bCs/>
                <w:szCs w:val="21"/>
                <w:lang w:eastAsia="zh-CN"/>
              </w:rPr>
            </w:pPr>
            <w:r>
              <w:rPr>
                <w:rFonts w:hint="eastAsia" w:ascii="仿宋" w:hAnsi="仿宋" w:eastAsia="仿宋"/>
                <w:bCs/>
                <w:szCs w:val="21"/>
                <w:lang w:val="en-US" w:eastAsia="zh-CN"/>
              </w:rPr>
              <w:t>M</w:t>
            </w:r>
            <w:r>
              <w:rPr>
                <w:rFonts w:hint="eastAsia" w:ascii="仿宋" w:hAnsi="仿宋" w:eastAsia="仿宋"/>
                <w:bCs/>
                <w:szCs w:val="21"/>
              </w:rPr>
              <w:t>份额：</w:t>
            </w: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1350</w:t>
            </w:r>
            <w:r>
              <w:rPr>
                <w:rFonts w:hint="eastAsia" w:ascii="仿宋" w:hAnsi="仿宋" w:eastAsia="仿宋"/>
                <w:bCs/>
                <w:szCs w:val="21"/>
                <w:highlight w:val="none"/>
                <w:lang w:val="en-US" w:eastAsia="zh-CN"/>
              </w:rPr>
              <w:t>07</w:t>
            </w:r>
            <w:r>
              <w:rPr>
                <w:rFonts w:hint="eastAsia" w:ascii="仿宋" w:hAnsi="仿宋" w:eastAsia="仿宋"/>
                <w:bCs/>
                <w:szCs w:val="21"/>
                <w:lang w:val="en-US" w:eastAsia="zh-CN"/>
              </w:rPr>
              <w:t>M</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Y</w:t>
            </w:r>
            <w:r>
              <w:rPr>
                <w:rFonts w:hint="eastAsia" w:ascii="仿宋" w:hAnsi="仿宋" w:eastAsia="仿宋"/>
                <w:bCs/>
                <w:szCs w:val="21"/>
              </w:rPr>
              <w:t>份额：</w:t>
            </w:r>
            <w:r>
              <w:rPr>
                <w:rFonts w:ascii="仿宋" w:hAnsi="仿宋" w:eastAsia="仿宋"/>
                <w:bCs/>
                <w:szCs w:val="21"/>
                <w:highlight w:val="none"/>
              </w:rPr>
              <w:t>2</w:t>
            </w:r>
            <w:r>
              <w:rPr>
                <w:rFonts w:hint="eastAsia" w:ascii="仿宋" w:hAnsi="仿宋" w:eastAsia="仿宋"/>
                <w:bCs/>
                <w:szCs w:val="21"/>
                <w:highlight w:val="none"/>
                <w:lang w:val="en-US" w:eastAsia="zh-CN"/>
              </w:rPr>
              <w:t>4</w:t>
            </w:r>
            <w:r>
              <w:rPr>
                <w:rFonts w:ascii="仿宋" w:hAnsi="仿宋" w:eastAsia="仿宋"/>
                <w:bCs/>
                <w:szCs w:val="21"/>
                <w:highlight w:val="none"/>
              </w:rPr>
              <w:t>1350</w:t>
            </w:r>
            <w:r>
              <w:rPr>
                <w:rFonts w:hint="eastAsia" w:ascii="仿宋" w:hAnsi="仿宋" w:eastAsia="仿宋"/>
                <w:bCs/>
                <w:szCs w:val="21"/>
                <w:highlight w:val="none"/>
                <w:lang w:val="en-US" w:eastAsia="zh-CN"/>
              </w:rPr>
              <w:t>07</w:t>
            </w:r>
            <w:r>
              <w:rPr>
                <w:rFonts w:hint="eastAsia" w:ascii="仿宋" w:hAnsi="仿宋" w:eastAsia="仿宋"/>
                <w:bCs/>
                <w:szCs w:val="21"/>
                <w:lang w:val="en-US" w:eastAsia="zh-CN"/>
              </w:rPr>
              <w:t>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ascii="仿宋" w:hAnsi="仿宋" w:eastAsia="仿宋"/>
                <w:bCs/>
                <w:szCs w:val="21"/>
                <w:highlight w:val="none"/>
              </w:rPr>
              <w:t>Z700392</w:t>
            </w:r>
            <w:r>
              <w:rPr>
                <w:rFonts w:hint="eastAsia" w:ascii="仿宋" w:hAnsi="仿宋" w:eastAsia="仿宋"/>
                <w:bCs/>
                <w:szCs w:val="21"/>
                <w:highlight w:val="none"/>
                <w:lang w:val="en-US" w:eastAsia="zh-CN"/>
              </w:rPr>
              <w:t>4</w:t>
            </w:r>
            <w:r>
              <w:rPr>
                <w:rFonts w:ascii="仿宋" w:hAnsi="仿宋" w:eastAsia="仿宋"/>
                <w:bCs/>
                <w:szCs w:val="21"/>
                <w:highlight w:val="none"/>
              </w:rPr>
              <w:t>000</w:t>
            </w:r>
            <w:r>
              <w:rPr>
                <w:rFonts w:hint="eastAsia" w:ascii="仿宋" w:hAnsi="仿宋" w:eastAsia="仿宋"/>
                <w:bCs/>
                <w:szCs w:val="21"/>
                <w:highlight w:val="none"/>
                <w:lang w:val="en-US" w:eastAsia="zh-CN"/>
              </w:rPr>
              <w:t>317</w:t>
            </w:r>
          </w:p>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color w:val="000000"/>
                <w:szCs w:val="21"/>
                <w:u w:val="single"/>
              </w:rPr>
              <w:t>CR2（稳健型）、CR3（平衡型）、CR4（进取型）、CR5（激进型）</w:t>
            </w:r>
            <w:r>
              <w:rPr>
                <w:rFonts w:hint="eastAsia" w:ascii="仿宋" w:hAnsi="仿宋" w:eastAsia="仿宋"/>
                <w:bCs/>
                <w:szCs w:val="21"/>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hint="eastAsia" w:ascii="仿宋" w:hAnsi="仿宋" w:eastAsia="仿宋"/>
                <w:b/>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ascii="仿宋" w:hAnsi="仿宋" w:eastAsia="仿宋"/>
                <w:bCs/>
                <w:szCs w:val="21"/>
                <w:highlight w:val="none"/>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cs="Cambria"/>
                <w:bCs/>
                <w:kern w:val="0"/>
                <w:szCs w:val="21"/>
              </w:rPr>
              <w:t>业绩比较基准为1.50%-1.90%（年化）</w:t>
            </w:r>
            <w:r>
              <w:rPr>
                <w:rFonts w:hint="eastAsia" w:ascii="仿宋" w:hAnsi="仿宋" w:eastAsia="仿宋" w:cs="Cambria"/>
                <w:bCs/>
                <w:kern w:val="0"/>
                <w:szCs w:val="21"/>
                <w:lang w:eastAsia="zh-CN"/>
              </w:rPr>
              <w:t>；</w:t>
            </w:r>
            <w:r>
              <w:rPr>
                <w:rFonts w:hint="eastAsia" w:ascii="仿宋" w:hAnsi="仿宋" w:eastAsia="仿宋" w:cs="Cambria"/>
                <w:bCs/>
                <w:szCs w:val="21"/>
                <w:lang w:val="en-US" w:eastAsia="zh-CN"/>
              </w:rPr>
              <w:t>M</w:t>
            </w:r>
            <w:r>
              <w:rPr>
                <w:rFonts w:hint="eastAsia" w:ascii="仿宋" w:hAnsi="仿宋" w:eastAsia="仿宋" w:cs="Cambria"/>
                <w:bCs/>
                <w:szCs w:val="21"/>
              </w:rPr>
              <w:t>份额：</w:t>
            </w:r>
            <w:r>
              <w:rPr>
                <w:rFonts w:hint="eastAsia" w:ascii="仿宋" w:hAnsi="仿宋" w:eastAsia="仿宋" w:cs="Cambria"/>
                <w:bCs/>
                <w:kern w:val="0"/>
                <w:szCs w:val="21"/>
              </w:rPr>
              <w:t>业绩比较基准为1.45%-1.85%（年化）</w:t>
            </w:r>
            <w:r>
              <w:rPr>
                <w:rFonts w:hint="eastAsia" w:ascii="仿宋" w:hAnsi="仿宋" w:eastAsia="仿宋" w:cs="Cambria"/>
                <w:bCs/>
                <w:kern w:val="0"/>
                <w:szCs w:val="21"/>
                <w:lang w:eastAsia="zh-CN"/>
              </w:rPr>
              <w:t>；</w:t>
            </w:r>
            <w:r>
              <w:rPr>
                <w:rFonts w:hint="eastAsia" w:ascii="仿宋" w:hAnsi="仿宋" w:eastAsia="仿宋" w:cs="Cambria"/>
                <w:bCs/>
                <w:szCs w:val="21"/>
                <w:lang w:val="en-US" w:eastAsia="zh-CN"/>
              </w:rPr>
              <w:t>Y</w:t>
            </w:r>
            <w:r>
              <w:rPr>
                <w:rFonts w:hint="eastAsia" w:ascii="仿宋" w:hAnsi="仿宋" w:eastAsia="仿宋" w:cs="Cambria"/>
                <w:bCs/>
                <w:szCs w:val="21"/>
              </w:rPr>
              <w:t>份额：</w:t>
            </w:r>
            <w:r>
              <w:rPr>
                <w:rFonts w:hint="eastAsia" w:ascii="仿宋" w:hAnsi="仿宋" w:eastAsia="仿宋" w:cs="Cambria"/>
                <w:bCs/>
                <w:kern w:val="0"/>
                <w:szCs w:val="21"/>
              </w:rPr>
              <w:t>业绩比较基准为1.35%-1.75%（年化）。以产品投资现金等高流动性资产仓位5%-10%，存款、债券等固定收益类资产仓位80%-100%，</w:t>
            </w:r>
            <w:r>
              <w:rPr>
                <w:rFonts w:hint="eastAsia" w:ascii="仿宋" w:hAnsi="仿宋" w:eastAsia="仿宋" w:cs="Cambria"/>
                <w:bCs/>
                <w:kern w:val="0"/>
                <w:szCs w:val="21"/>
                <w:lang w:val="en-US" w:eastAsia="zh-CN"/>
              </w:rPr>
              <w:t>优先股等</w:t>
            </w:r>
            <w:r>
              <w:rPr>
                <w:rFonts w:hint="eastAsia" w:ascii="仿宋" w:hAnsi="仿宋" w:eastAsia="仿宋" w:cs="Cambria"/>
                <w:bCs/>
                <w:kern w:val="0"/>
                <w:szCs w:val="21"/>
              </w:rPr>
              <w:t>权益类资产0-20%，组合杠杆率100%-1</w:t>
            </w:r>
            <w:r>
              <w:rPr>
                <w:rFonts w:hint="eastAsia" w:ascii="仿宋" w:hAnsi="仿宋" w:eastAsia="仿宋" w:cs="Cambria"/>
                <w:bCs/>
                <w:kern w:val="0"/>
                <w:szCs w:val="21"/>
                <w:lang w:val="en-US" w:eastAsia="zh-CN"/>
              </w:rPr>
              <w:t>4</w:t>
            </w:r>
            <w:r>
              <w:rPr>
                <w:rFonts w:hint="eastAsia" w:ascii="仿宋" w:hAnsi="仿宋" w:eastAsia="仿宋" w:cs="Cambria"/>
                <w:bCs/>
                <w:kern w:val="0"/>
                <w:szCs w:val="21"/>
              </w:rPr>
              <w:t>0%为例，参考中债-信用债总财富指数、优先股资产收益率，结合产品</w:t>
            </w:r>
            <w:r>
              <w:rPr>
                <w:rFonts w:hint="eastAsia" w:ascii="仿宋" w:hAnsi="仿宋" w:eastAsia="仿宋" w:cs="Cambria"/>
                <w:bCs/>
                <w:kern w:val="0"/>
                <w:szCs w:val="21"/>
                <w:lang w:val="en-US" w:eastAsia="zh-CN"/>
              </w:rPr>
              <w:t>低波动</w:t>
            </w:r>
            <w:r>
              <w:rPr>
                <w:rFonts w:hint="eastAsia" w:ascii="仿宋" w:hAnsi="仿宋" w:eastAsia="仿宋" w:cs="Cambria"/>
                <w:bCs/>
                <w:kern w:val="0"/>
                <w:szCs w:val="21"/>
              </w:rPr>
              <w:t>投资策略并扣除各项费用后，综合测算得出上述业绩比较基准</w:t>
            </w:r>
            <w:r>
              <w:rPr>
                <w:rFonts w:hint="eastAsia" w:ascii="仿宋" w:hAnsi="仿宋" w:eastAsia="仿宋"/>
                <w:bCs/>
                <w:color w:val="000000"/>
                <w:szCs w:val="21"/>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highlight w:val="none"/>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w:t>
            </w:r>
            <w:r>
              <w:rPr>
                <w:rFonts w:hint="eastAsia" w:ascii="仿宋" w:hAnsi="仿宋" w:eastAsia="仿宋"/>
                <w:bCs/>
                <w:szCs w:val="21"/>
                <w:lang w:val="en-US" w:eastAsia="zh-CN"/>
              </w:rPr>
              <w:t>5:</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4</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M</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Y</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bCs w:val="0"/>
                <w:szCs w:val="21"/>
              </w:rPr>
              <w:t>份额净值的计算保留到小数点后</w:t>
            </w:r>
            <w:r>
              <w:rPr>
                <w:rFonts w:ascii="仿宋" w:hAnsi="仿宋" w:eastAsia="仿宋"/>
                <w:b/>
                <w:bCs w:val="0"/>
                <w:szCs w:val="21"/>
              </w:rPr>
              <w:t xml:space="preserve"> </w:t>
            </w:r>
            <w:r>
              <w:rPr>
                <w:rFonts w:hint="eastAsia" w:ascii="仿宋" w:hAnsi="仿宋" w:eastAsia="仿宋"/>
                <w:b/>
                <w:bCs w:val="0"/>
                <w:szCs w:val="21"/>
                <w:lang w:val="en-US" w:eastAsia="zh-CN"/>
              </w:rPr>
              <w:t>6</w:t>
            </w:r>
            <w:r>
              <w:rPr>
                <w:rFonts w:ascii="仿宋" w:hAnsi="仿宋" w:eastAsia="仿宋"/>
                <w:b/>
                <w:bCs w:val="0"/>
                <w:szCs w:val="21"/>
              </w:rPr>
              <w:t xml:space="preserve"> </w:t>
            </w:r>
            <w:r>
              <w:rPr>
                <w:rFonts w:hint="eastAsia" w:ascii="仿宋" w:hAnsi="仿宋" w:eastAsia="仿宋"/>
                <w:b/>
                <w:bCs w:val="0"/>
                <w:szCs w:val="21"/>
              </w:rPr>
              <w:t>位，小数点后第</w:t>
            </w:r>
            <w:r>
              <w:rPr>
                <w:rFonts w:ascii="仿宋" w:hAnsi="仿宋" w:eastAsia="仿宋"/>
                <w:b/>
                <w:bCs w:val="0"/>
                <w:szCs w:val="21"/>
              </w:rPr>
              <w:t xml:space="preserve"> </w:t>
            </w:r>
            <w:r>
              <w:rPr>
                <w:rFonts w:hint="eastAsia" w:ascii="仿宋" w:hAnsi="仿宋" w:eastAsia="仿宋"/>
                <w:b/>
                <w:bCs w:val="0"/>
                <w:szCs w:val="21"/>
                <w:lang w:val="en-US" w:eastAsia="zh-CN"/>
              </w:rPr>
              <w:t>7</w:t>
            </w:r>
            <w:r>
              <w:rPr>
                <w:rFonts w:ascii="仿宋" w:hAnsi="仿宋" w:eastAsia="仿宋"/>
                <w:b/>
                <w:bCs w:val="0"/>
                <w:szCs w:val="21"/>
              </w:rPr>
              <w:t xml:space="preserve"> </w:t>
            </w:r>
            <w:r>
              <w:rPr>
                <w:rFonts w:hint="eastAsia" w:ascii="仿宋" w:hAnsi="仿宋" w:eastAsia="仿宋"/>
                <w:b/>
                <w:bCs w:val="0"/>
                <w:szCs w:val="21"/>
              </w:rPr>
              <w:t>位四舍五入。</w:t>
            </w:r>
          </w:p>
          <w:p>
            <w:pPr>
              <w:adjustRightInd w:val="0"/>
              <w:snapToGrid w:val="0"/>
              <w:spacing w:line="240" w:lineRule="atLeast"/>
              <w:ind w:firstLine="420"/>
              <w:rPr>
                <w:rFonts w:hint="eastAsia" w:ascii="仿宋" w:hAnsi="仿宋" w:eastAsia="仿宋"/>
                <w:b/>
                <w:bCs w:val="0"/>
                <w:szCs w:val="21"/>
              </w:rPr>
            </w:pPr>
            <w:r>
              <w:rPr>
                <w:rFonts w:hint="eastAsia" w:ascii="仿宋" w:hAnsi="仿宋" w:eastAsia="仿宋"/>
                <w:b/>
                <w:szCs w:val="21"/>
                <w:highlight w:val="none"/>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highlight w:val="none"/>
              </w:rPr>
              <w:t>工作日指上海证券交易所和深圳证券交易所的交易日，且同时为银行对外办理一般对公业务的工作日</w:t>
            </w:r>
            <w:r>
              <w:rPr>
                <w:rFonts w:hint="eastAsia" w:ascii="仿宋" w:hAnsi="仿宋" w:eastAsia="仿宋"/>
                <w:bCs/>
                <w:szCs w:val="21"/>
                <w:highlight w:val="none"/>
                <w:lang w:eastAsia="zh-CN"/>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highlight w:val="none"/>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highlight w:val="none"/>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ascii="仿宋" w:hAnsi="仿宋" w:eastAsia="仿宋"/>
                <w:u w:val="single"/>
              </w:rPr>
              <w:t>9</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ascii="仿宋" w:hAnsi="仿宋" w:eastAsia="仿宋"/>
                <w:bCs/>
                <w:szCs w:val="21"/>
                <w:u w:val="single"/>
              </w:rPr>
              <w:t>90</w:t>
            </w:r>
            <w:r>
              <w:rPr>
                <w:rFonts w:hint="eastAsia" w:ascii="仿宋" w:hAnsi="仿宋" w:eastAsia="仿宋"/>
                <w:bCs/>
                <w:szCs w:val="21"/>
                <w:u w:val="single"/>
              </w:rPr>
              <w:t xml:space="preserve"> 个自然日，对投资者的每笔认/申购份额设置最短持有期限，即每笔认购份额从产品成立日（含）或每笔申购份额从申购申请确认日（含）起 </w:t>
            </w:r>
            <w:r>
              <w:rPr>
                <w:rFonts w:ascii="仿宋" w:hAnsi="仿宋" w:eastAsia="仿宋"/>
                <w:bCs/>
                <w:szCs w:val="21"/>
                <w:u w:val="single"/>
              </w:rPr>
              <w:t>90</w:t>
            </w:r>
            <w:r>
              <w:rPr>
                <w:rFonts w:hint="eastAsia" w:ascii="仿宋" w:hAnsi="仿宋" w:eastAsia="仿宋"/>
                <w:bCs/>
                <w:szCs w:val="21"/>
                <w:u w:val="single"/>
              </w:rPr>
              <w:t xml:space="preserve"> 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w:t>
            </w:r>
            <w:r>
              <w:rPr>
                <w:rFonts w:hint="eastAsia" w:ascii="仿宋" w:hAnsi="仿宋" w:eastAsia="仿宋"/>
                <w:bCs/>
                <w:szCs w:val="21"/>
                <w:lang w:val="en-US" w:eastAsia="zh-CN"/>
              </w:rPr>
              <w:t>最短持有</w:t>
            </w:r>
            <w:r>
              <w:rPr>
                <w:rFonts w:hint="eastAsia" w:ascii="仿宋" w:hAnsi="仿宋" w:eastAsia="仿宋"/>
                <w:bCs/>
                <w:szCs w:val="21"/>
              </w:rPr>
              <w:t>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2</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2</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szCs w:val="21"/>
              </w:rPr>
              <w:t>A份额：</w:t>
            </w:r>
            <w:r>
              <w:rPr>
                <w:rFonts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szCs w:val="21"/>
                <w:lang w:val="en-US" w:eastAsia="zh-CN"/>
              </w:rPr>
              <w:t>M</w:t>
            </w:r>
            <w:r>
              <w:rPr>
                <w:rFonts w:hint="eastAsia" w:ascii="仿宋" w:hAnsi="仿宋" w:eastAsia="仿宋" w:cs="Cambria"/>
                <w:b/>
                <w:bCs/>
                <w:szCs w:val="21"/>
              </w:rPr>
              <w:t>份额：</w:t>
            </w:r>
            <w:r>
              <w:rPr>
                <w:rFonts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szCs w:val="21"/>
                <w:lang w:val="en-US" w:eastAsia="zh-CN"/>
              </w:rPr>
              <w:t>Y</w:t>
            </w:r>
            <w:r>
              <w:rPr>
                <w:rFonts w:hint="eastAsia" w:ascii="仿宋" w:hAnsi="仿宋" w:eastAsia="仿宋" w:cs="Cambria"/>
                <w:b/>
                <w:bCs/>
                <w:szCs w:val="21"/>
              </w:rPr>
              <w:t>份额：</w:t>
            </w:r>
            <w:r>
              <w:rPr>
                <w:rFonts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szCs w:val="21"/>
              </w:rPr>
              <w:t>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szCs w:val="21"/>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lang w:val="en-US" w:eastAsia="zh-CN"/>
              </w:rPr>
              <w:t>5,</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本产品主要投资于货币市场工具、标准化债权类资产等固定收益类资产</w:t>
      </w:r>
      <w:r>
        <w:rPr>
          <w:rFonts w:hint="eastAsia" w:ascii="仿宋" w:hAnsi="仿宋" w:eastAsia="仿宋" w:cs="宋体"/>
          <w:color w:val="000000"/>
          <w:kern w:val="0"/>
          <w:sz w:val="24"/>
          <w:lang w:val="en-US" w:eastAsia="zh-CN"/>
        </w:rPr>
        <w:t>以及</w:t>
      </w:r>
      <w:r>
        <w:rPr>
          <w:rFonts w:hint="eastAsia" w:ascii="仿宋" w:hAnsi="仿宋" w:eastAsia="仿宋" w:cs="宋体"/>
          <w:color w:val="000000"/>
          <w:kern w:val="0"/>
          <w:sz w:val="24"/>
        </w:rPr>
        <w:t>权益类资产。</w:t>
      </w:r>
    </w:p>
    <w:p>
      <w:pPr>
        <w:widowControl/>
        <w:adjustRightInd w:val="0"/>
        <w:snapToGrid w:val="0"/>
        <w:spacing w:line="276" w:lineRule="auto"/>
        <w:ind w:firstLine="480" w:firstLineChars="200"/>
        <w:contextualSpacing/>
        <w:jc w:val="both"/>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仿宋"/>
          <w:sz w:val="24"/>
        </w:rPr>
      </w:pPr>
      <w:r>
        <w:rPr>
          <w:rFonts w:hint="eastAsia" w:ascii="仿宋" w:hAnsi="仿宋" w:eastAsia="仿宋" w:cs="仿宋"/>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认可的其他具有良好流动性的金融工具；标准化债权类资产包括但不限于国债、中央银行票据、地方政府债券、政府支持机构债券、金融债券、非金融企业债务融资工具、公司债券、企业债券、国际机构债券、</w:t>
      </w:r>
      <w:r>
        <w:rPr>
          <w:rFonts w:hint="eastAsia" w:ascii="仿宋" w:hAnsi="仿宋" w:eastAsia="仿宋" w:cs="宋体"/>
          <w:color w:val="000000"/>
          <w:kern w:val="0"/>
          <w:sz w:val="24"/>
          <w:lang w:val="en-US" w:eastAsia="zh-CN"/>
        </w:rPr>
        <w:t>可转换债券、可交换债券、永续债、</w:t>
      </w:r>
      <w:r>
        <w:rPr>
          <w:rFonts w:hint="eastAsia" w:ascii="仿宋" w:hAnsi="仿宋" w:eastAsia="仿宋" w:cs="宋体"/>
          <w:color w:val="000000"/>
          <w:kern w:val="0"/>
          <w:sz w:val="24"/>
        </w:rPr>
        <w:t>同业存单、信贷资产支持证券、资产支持票据、证券交易所挂牌交易的资产支持证券、货币市场基金、债券型公募证券投资基金，以及《标准化债权类资产认定规则》认定的标准化债权类资产等；</w:t>
      </w:r>
      <w:r>
        <w:rPr>
          <w:rFonts w:hint="eastAsia" w:ascii="仿宋" w:hAnsi="仿宋" w:eastAsia="仿宋" w:cs="宋体"/>
          <w:color w:val="000000"/>
          <w:kern w:val="0"/>
          <w:sz w:val="24"/>
          <w:lang w:val="en-US" w:eastAsia="zh-CN"/>
        </w:rPr>
        <w:t>本理财产品可投资结构性存款；</w:t>
      </w:r>
      <w:r>
        <w:rPr>
          <w:rFonts w:hint="eastAsia" w:ascii="仿宋" w:hAnsi="仿宋" w:eastAsia="仿宋" w:cs="宋体"/>
          <w:color w:val="000000"/>
          <w:kern w:val="0"/>
          <w:sz w:val="24"/>
        </w:rPr>
        <w:t>权益类资产</w:t>
      </w:r>
      <w:r>
        <w:rPr>
          <w:rFonts w:hint="eastAsia" w:ascii="仿宋" w:hAnsi="仿宋" w:eastAsia="仿宋" w:cs="宋体"/>
          <w:color w:val="000000"/>
          <w:kern w:val="0"/>
          <w:sz w:val="24"/>
          <w:lang w:val="en-US" w:eastAsia="zh-CN"/>
        </w:rPr>
        <w:t>仅</w:t>
      </w:r>
      <w:r>
        <w:rPr>
          <w:rFonts w:hint="eastAsia" w:ascii="仿宋" w:hAnsi="仿宋" w:eastAsia="仿宋" w:cs="宋体"/>
          <w:color w:val="000000"/>
          <w:kern w:val="0"/>
          <w:sz w:val="24"/>
        </w:rPr>
        <w:t>限于</w:t>
      </w:r>
      <w:r>
        <w:rPr>
          <w:rFonts w:hint="eastAsia" w:ascii="仿宋" w:hAnsi="仿宋" w:eastAsia="仿宋" w:cs="宋体"/>
          <w:color w:val="000000"/>
          <w:kern w:val="0"/>
          <w:sz w:val="24"/>
          <w:lang w:val="en-US" w:eastAsia="zh-CN"/>
        </w:rPr>
        <w:t>优先股</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5"/>
        <w:gridCol w:w="2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keepNext/>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378" w:type="dxa"/>
            <w:vAlign w:val="center"/>
          </w:tcPr>
          <w:p>
            <w:pPr>
              <w:keepNext/>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固定收益类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80%（含）-100%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权益类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0%-20%</w:t>
            </w:r>
          </w:p>
        </w:tc>
      </w:tr>
    </w:tbl>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管理人应当自理财产品成立日起</w:t>
      </w:r>
      <w:r>
        <w:rPr>
          <w:rFonts w:ascii="仿宋" w:hAnsi="仿宋" w:eastAsia="仿宋" w:cs="宋体"/>
          <w:b/>
          <w:bCs/>
          <w:color w:val="000000"/>
          <w:kern w:val="0"/>
          <w:sz w:val="24"/>
        </w:rPr>
        <w:t>1</w:t>
      </w:r>
      <w:r>
        <w:rPr>
          <w:rFonts w:hint="eastAsia" w:ascii="仿宋" w:hAnsi="仿宋" w:eastAsia="仿宋" w:cs="宋体"/>
          <w:b/>
          <w:bCs/>
          <w:color w:val="000000"/>
          <w:kern w:val="0"/>
          <w:sz w:val="24"/>
        </w:rPr>
        <w:t>个</w:t>
      </w:r>
      <w:r>
        <w:rPr>
          <w:rFonts w:ascii="仿宋" w:hAnsi="仿宋" w:eastAsia="仿宋" w:cs="宋体"/>
          <w:b/>
          <w:bCs/>
          <w:color w:val="000000"/>
          <w:kern w:val="0"/>
          <w:sz w:val="24"/>
        </w:rPr>
        <w:t>月</w:t>
      </w:r>
      <w:r>
        <w:rPr>
          <w:rFonts w:hint="eastAsia" w:ascii="仿宋" w:hAnsi="仿宋" w:eastAsia="仿宋" w:cs="宋体"/>
          <w:b/>
          <w:bCs/>
          <w:color w:val="000000"/>
          <w:kern w:val="0"/>
          <w:sz w:val="24"/>
        </w:rPr>
        <w:t>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中信</w:t>
      </w:r>
      <w:r>
        <w:rPr>
          <w:rFonts w:hint="eastAsia" w:ascii="仿宋" w:hAnsi="仿宋" w:eastAsia="仿宋" w:cs="宋体"/>
          <w:color w:val="000000"/>
          <w:kern w:val="0"/>
          <w:sz w:val="24"/>
        </w:rPr>
        <w:t>银行股份有限公司。</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方合英</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注册地址：北京市</w:t>
      </w:r>
      <w:r>
        <w:rPr>
          <w:rFonts w:hint="eastAsia" w:ascii="仿宋" w:hAnsi="仿宋" w:eastAsia="仿宋" w:cs="宋体"/>
          <w:color w:val="000000"/>
          <w:kern w:val="0"/>
          <w:sz w:val="24"/>
          <w:lang w:val="en-US" w:eastAsia="zh-CN"/>
        </w:rPr>
        <w:t>朝阳</w:t>
      </w:r>
      <w:r>
        <w:rPr>
          <w:rFonts w:hint="eastAsia" w:ascii="仿宋" w:hAnsi="仿宋" w:eastAsia="仿宋" w:cs="宋体"/>
          <w:color w:val="000000"/>
          <w:kern w:val="0"/>
          <w:sz w:val="24"/>
        </w:rPr>
        <w:t>区</w:t>
      </w:r>
      <w:r>
        <w:rPr>
          <w:rFonts w:hint="eastAsia" w:ascii="仿宋" w:hAnsi="仿宋" w:eastAsia="仿宋" w:cs="宋体"/>
          <w:color w:val="000000"/>
          <w:kern w:val="0"/>
          <w:sz w:val="24"/>
          <w:lang w:val="en-US" w:eastAsia="zh-CN"/>
        </w:rPr>
        <w:t>光华路10</w:t>
      </w:r>
      <w:r>
        <w:rPr>
          <w:rFonts w:hint="eastAsia" w:ascii="仿宋" w:hAnsi="仿宋" w:eastAsia="仿宋" w:cs="宋体"/>
          <w:color w:val="000000"/>
          <w:kern w:val="0"/>
          <w:sz w:val="24"/>
        </w:rPr>
        <w:t>号</w:t>
      </w:r>
      <w:r>
        <w:rPr>
          <w:rFonts w:hint="eastAsia" w:ascii="仿宋" w:hAnsi="仿宋" w:eastAsia="仿宋" w:cs="宋体"/>
          <w:color w:val="000000"/>
          <w:kern w:val="0"/>
          <w:sz w:val="24"/>
          <w:lang w:val="en-US" w:eastAsia="zh-CN"/>
        </w:rPr>
        <w:t>院1号楼6-30层、32-42层</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w:t>
      </w:r>
      <w:r>
        <w:rPr>
          <w:rFonts w:hint="eastAsia" w:ascii="仿宋" w:hAnsi="仿宋" w:eastAsia="仿宋" w:cs="宋体"/>
          <w:kern w:val="0"/>
          <w:sz w:val="24"/>
          <w:lang w:val="en-US" w:eastAsia="zh-CN"/>
        </w:rPr>
        <w:t>直销</w:t>
      </w:r>
      <w:r>
        <w:rPr>
          <w:rFonts w:hint="eastAsia" w:ascii="仿宋" w:hAnsi="仿宋" w:eastAsia="仿宋" w:cs="宋体"/>
          <w:kern w:val="0"/>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color w:val="000000"/>
          <w:kern w:val="0"/>
          <w:sz w:val="24"/>
          <w:highlight w:val="none"/>
        </w:rPr>
        <w:t>3</w:t>
      </w:r>
      <w:r>
        <w:rPr>
          <w:rFonts w:hint="eastAsia" w:ascii="仿宋" w:hAnsi="仿宋" w:eastAsia="仿宋" w:cs="宋体"/>
          <w:color w:val="000000"/>
          <w:kern w:val="0"/>
          <w:sz w:val="24"/>
          <w:highlight w:val="none"/>
          <w:lang w:val="en-US" w:eastAsia="zh-CN"/>
        </w:rPr>
        <w:t>.</w:t>
      </w:r>
      <w:r>
        <w:rPr>
          <w:rFonts w:hint="eastAsia" w:ascii="仿宋" w:hAnsi="仿宋" w:eastAsia="仿宋" w:cs="宋体"/>
          <w:color w:val="000000"/>
          <w:kern w:val="0"/>
          <w:sz w:val="24"/>
          <w:highlight w:val="none"/>
        </w:rPr>
        <w:t>本理财产品申购和赎回采用“未知价”原则，即本产品申购申请和赎回申请提交时，适用的产品份额净值都是未知的。适用的产品份额净值</w:t>
      </w:r>
      <w:r>
        <w:rPr>
          <w:rFonts w:hint="eastAsia" w:ascii="仿宋" w:hAnsi="仿宋" w:eastAsia="仿宋" w:cs="宋体"/>
          <w:color w:val="000000"/>
          <w:kern w:val="0"/>
          <w:sz w:val="24"/>
          <w:highlight w:val="none"/>
          <w:lang w:eastAsia="zh-CN"/>
        </w:rPr>
        <w:t>，</w:t>
      </w:r>
      <w:r>
        <w:rPr>
          <w:rFonts w:hint="eastAsia" w:ascii="仿宋" w:hAnsi="仿宋" w:eastAsia="仿宋" w:cs="宋体"/>
          <w:color w:val="000000"/>
          <w:kern w:val="0"/>
          <w:sz w:val="24"/>
          <w:highlight w:val="none"/>
          <w:lang w:val="en-US" w:eastAsia="zh-CN"/>
        </w:rPr>
        <w:t>详见“份额净值公告日”“九、信息披露”</w:t>
      </w:r>
      <w:r>
        <w:rPr>
          <w:rFonts w:hint="eastAsia" w:ascii="仿宋" w:hAnsi="仿宋" w:eastAsia="仿宋" w:cs="宋体"/>
          <w:color w:val="000000"/>
          <w:kern w:val="0"/>
          <w:sz w:val="24"/>
          <w:highlight w:val="none"/>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w:t>
      </w:r>
      <w:r>
        <w:rPr>
          <w:rFonts w:hint="eastAsia" w:eastAsia="黑体"/>
          <w:b/>
          <w:color w:val="000000"/>
          <w:sz w:val="24"/>
          <w:highlight w:val="none"/>
        </w:rPr>
        <w:t>不等于预期收益，</w:t>
      </w:r>
      <w:r>
        <w:rPr>
          <w:rFonts w:hint="eastAsia" w:eastAsia="黑体"/>
          <w:b/>
          <w:color w:val="000000"/>
          <w:sz w:val="24"/>
        </w:rPr>
        <w:t>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w:t>
      </w:r>
      <w:r>
        <w:rPr>
          <w:rFonts w:hint="eastAsia" w:ascii="仿宋" w:hAnsi="仿宋" w:eastAsia="仿宋"/>
          <w:lang w:val="en-US" w:eastAsia="zh-CN"/>
        </w:rPr>
        <w:t>等</w:t>
      </w:r>
      <w:r>
        <w:rPr>
          <w:rFonts w:hint="eastAsia" w:ascii="仿宋" w:hAnsi="仿宋" w:eastAsia="仿宋" w:cs="宋体"/>
          <w:color w:val="000000"/>
          <w:kern w:val="0"/>
          <w:sz w:val="24"/>
        </w:rPr>
        <w:t>固定收益类资产</w:t>
      </w:r>
      <w:r>
        <w:rPr>
          <w:rFonts w:hint="eastAsia" w:ascii="仿宋" w:hAnsi="仿宋" w:eastAsia="仿宋" w:cs="宋体"/>
          <w:color w:val="000000"/>
          <w:kern w:val="0"/>
          <w:sz w:val="24"/>
          <w:lang w:eastAsia="zh-CN"/>
        </w:rPr>
        <w:t>、</w:t>
      </w:r>
      <w:r>
        <w:rPr>
          <w:rFonts w:hint="eastAsia" w:ascii="仿宋" w:hAnsi="仿宋" w:eastAsia="仿宋"/>
        </w:rPr>
        <w:t>权益类资产以及资产管理产品等资产。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w:t>
      </w:r>
      <w:r>
        <w:rPr>
          <w:rFonts w:hint="eastAsia" w:ascii="仿宋" w:hAnsi="仿宋" w:eastAsia="仿宋" w:cs="仿宋"/>
          <w:highlight w:val="none"/>
        </w:rPr>
        <w:t>当估值出现错误时，</w:t>
      </w:r>
      <w:r>
        <w:rPr>
          <w:rFonts w:hint="eastAsia" w:ascii="仿宋" w:hAnsi="仿宋" w:eastAsia="仿宋" w:cs="仿宋"/>
        </w:rPr>
        <w:t>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w:t>
      </w:r>
      <w:r>
        <w:rPr>
          <w:rFonts w:hint="eastAsia" w:ascii="仿宋" w:hAnsi="仿宋" w:eastAsia="仿宋" w:cs="仿宋"/>
          <w:highlight w:val="none"/>
        </w:rPr>
        <w:t>管理人和托管人可以在法律法规允许的范围内免除赔偿责任。</w:t>
      </w:r>
      <w:r>
        <w:rPr>
          <w:rFonts w:hint="eastAsia" w:ascii="仿宋" w:hAnsi="仿宋" w:eastAsia="仿宋" w:cs="仿宋"/>
        </w:rPr>
        <w:t>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22"/>
        <w:snapToGrid w:val="0"/>
        <w:spacing w:beforeLines="0" w:afterLines="0" w:line="276" w:lineRule="auto"/>
        <w:ind w:firstLine="482"/>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可转换债券、可交换债券投资风险（如有）：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可转换债券、可交换债券收益与对应标的股票股价直接挂钩，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可转换债券、可交换债券投资受到包括但不限于上述因素影响时，可能影响投资者收益，甚至使产品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3</w:t>
      </w:r>
      <w:r>
        <w:rPr>
          <w:rFonts w:hint="eastAsia" w:ascii="Times New Roman" w:hAnsi="Times New Roman" w:eastAsia="黑体" w:cs="Times New Roman"/>
          <w:b/>
          <w:kern w:val="0"/>
          <w:sz w:val="24"/>
          <w:szCs w:val="24"/>
          <w:lang w:val="en-US" w:eastAsia="zh-CN" w:bidi="ar-SA"/>
        </w:rPr>
        <w:t>.投资于存款类资产的可能风险：本产品拟投资的存款类资产在极端情况下可能面临被拒绝支取、因提前支取而被收取罚息等费用的风险，从而影响投资者收益，甚至使本产品本金遭受损失。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 xml:space="preserve">.投资于优先股的可能风险：优先股具有固定收益证券的特征，但优先股发行方无到期归还本金的义务，可能发生发行人经营状况恶化、无法足额支付股息的风险，从而影响产品和投资者收益；优先股属于权益类资产，价格受国家各类政策、宏观经济、行业发展等多种因素影响，可能发生波动从而影响产品收益，甚至使产品本金遭受损失。 </w:t>
      </w:r>
    </w:p>
    <w:p>
      <w:pPr>
        <w:pStyle w:val="22"/>
        <w:numPr>
          <w:ilvl w:val="0"/>
          <w:numId w:val="0"/>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val="en-US" w:eastAsia="zh-CN"/>
        </w:rPr>
        <w:t>6.</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31EDCD"/>
    <w:multiLevelType w:val="singleLevel"/>
    <w:tmpl w:val="6531EDCD"/>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DCA"/>
    <w:rsid w:val="0000532D"/>
    <w:rsid w:val="00020F81"/>
    <w:rsid w:val="0004783E"/>
    <w:rsid w:val="00063561"/>
    <w:rsid w:val="00064D76"/>
    <w:rsid w:val="000713E1"/>
    <w:rsid w:val="000805E4"/>
    <w:rsid w:val="000A3C07"/>
    <w:rsid w:val="000B2313"/>
    <w:rsid w:val="000B32CF"/>
    <w:rsid w:val="000C6CF0"/>
    <w:rsid w:val="000D002A"/>
    <w:rsid w:val="000D7DE2"/>
    <w:rsid w:val="000E195A"/>
    <w:rsid w:val="000E7817"/>
    <w:rsid w:val="000F0804"/>
    <w:rsid w:val="00111D14"/>
    <w:rsid w:val="001260F4"/>
    <w:rsid w:val="001318D7"/>
    <w:rsid w:val="00141481"/>
    <w:rsid w:val="001423F3"/>
    <w:rsid w:val="00146323"/>
    <w:rsid w:val="00170760"/>
    <w:rsid w:val="00172A27"/>
    <w:rsid w:val="001B29E5"/>
    <w:rsid w:val="001E22CF"/>
    <w:rsid w:val="001E4307"/>
    <w:rsid w:val="001F6E3A"/>
    <w:rsid w:val="00214B23"/>
    <w:rsid w:val="0022758F"/>
    <w:rsid w:val="00227F2A"/>
    <w:rsid w:val="00294355"/>
    <w:rsid w:val="002A2967"/>
    <w:rsid w:val="002A2FEF"/>
    <w:rsid w:val="002E7F9D"/>
    <w:rsid w:val="00311EF5"/>
    <w:rsid w:val="00317320"/>
    <w:rsid w:val="00351C38"/>
    <w:rsid w:val="00365E5C"/>
    <w:rsid w:val="003923B3"/>
    <w:rsid w:val="003B2A65"/>
    <w:rsid w:val="003B5F8B"/>
    <w:rsid w:val="003B6B8C"/>
    <w:rsid w:val="003C2EBD"/>
    <w:rsid w:val="003D55AF"/>
    <w:rsid w:val="003D65A8"/>
    <w:rsid w:val="003E4BEB"/>
    <w:rsid w:val="003E7186"/>
    <w:rsid w:val="003F4E18"/>
    <w:rsid w:val="003F6114"/>
    <w:rsid w:val="004021F4"/>
    <w:rsid w:val="0044086D"/>
    <w:rsid w:val="00462536"/>
    <w:rsid w:val="004734C8"/>
    <w:rsid w:val="00494748"/>
    <w:rsid w:val="004A15DE"/>
    <w:rsid w:val="004A2A5F"/>
    <w:rsid w:val="004C4084"/>
    <w:rsid w:val="004E60FD"/>
    <w:rsid w:val="004E7D97"/>
    <w:rsid w:val="004F4E81"/>
    <w:rsid w:val="004F648F"/>
    <w:rsid w:val="005016FC"/>
    <w:rsid w:val="005114E6"/>
    <w:rsid w:val="00512B7C"/>
    <w:rsid w:val="00516401"/>
    <w:rsid w:val="00557AC8"/>
    <w:rsid w:val="005604F6"/>
    <w:rsid w:val="00560CC1"/>
    <w:rsid w:val="005727C8"/>
    <w:rsid w:val="005C08EC"/>
    <w:rsid w:val="005F66E4"/>
    <w:rsid w:val="00601E1F"/>
    <w:rsid w:val="006075D0"/>
    <w:rsid w:val="00613BD1"/>
    <w:rsid w:val="00650968"/>
    <w:rsid w:val="00656FE9"/>
    <w:rsid w:val="0066020C"/>
    <w:rsid w:val="00667B5F"/>
    <w:rsid w:val="00670595"/>
    <w:rsid w:val="00677437"/>
    <w:rsid w:val="00681E3A"/>
    <w:rsid w:val="0068328B"/>
    <w:rsid w:val="006860DD"/>
    <w:rsid w:val="0069073D"/>
    <w:rsid w:val="006915E0"/>
    <w:rsid w:val="006D3A14"/>
    <w:rsid w:val="006E0E9D"/>
    <w:rsid w:val="006E742E"/>
    <w:rsid w:val="006F119A"/>
    <w:rsid w:val="006F13D3"/>
    <w:rsid w:val="00712CC7"/>
    <w:rsid w:val="00714E33"/>
    <w:rsid w:val="007311CA"/>
    <w:rsid w:val="00734D46"/>
    <w:rsid w:val="0076606B"/>
    <w:rsid w:val="00777429"/>
    <w:rsid w:val="007815CF"/>
    <w:rsid w:val="00792744"/>
    <w:rsid w:val="007D5695"/>
    <w:rsid w:val="007F32C1"/>
    <w:rsid w:val="00807591"/>
    <w:rsid w:val="008277B6"/>
    <w:rsid w:val="008340D5"/>
    <w:rsid w:val="00836CF0"/>
    <w:rsid w:val="00843345"/>
    <w:rsid w:val="00846F1F"/>
    <w:rsid w:val="008505CE"/>
    <w:rsid w:val="00852D93"/>
    <w:rsid w:val="00863612"/>
    <w:rsid w:val="00887E73"/>
    <w:rsid w:val="008D19F3"/>
    <w:rsid w:val="008D5335"/>
    <w:rsid w:val="008D5F85"/>
    <w:rsid w:val="008E0C40"/>
    <w:rsid w:val="008E628E"/>
    <w:rsid w:val="008F10DC"/>
    <w:rsid w:val="008F6891"/>
    <w:rsid w:val="00902123"/>
    <w:rsid w:val="00916782"/>
    <w:rsid w:val="00930217"/>
    <w:rsid w:val="00971A91"/>
    <w:rsid w:val="00972105"/>
    <w:rsid w:val="00991FA8"/>
    <w:rsid w:val="009A3572"/>
    <w:rsid w:val="009C0A85"/>
    <w:rsid w:val="009C4B76"/>
    <w:rsid w:val="009C5840"/>
    <w:rsid w:val="009E3137"/>
    <w:rsid w:val="009E6D89"/>
    <w:rsid w:val="009F0D25"/>
    <w:rsid w:val="009F1CB5"/>
    <w:rsid w:val="00A25440"/>
    <w:rsid w:val="00A33474"/>
    <w:rsid w:val="00A51A90"/>
    <w:rsid w:val="00A547BE"/>
    <w:rsid w:val="00A87692"/>
    <w:rsid w:val="00A93593"/>
    <w:rsid w:val="00A978E7"/>
    <w:rsid w:val="00AA15B6"/>
    <w:rsid w:val="00AA7D8A"/>
    <w:rsid w:val="00AD7FE0"/>
    <w:rsid w:val="00AE07B3"/>
    <w:rsid w:val="00AE1B0B"/>
    <w:rsid w:val="00AE26B5"/>
    <w:rsid w:val="00AE7F75"/>
    <w:rsid w:val="00AF3F07"/>
    <w:rsid w:val="00B22A7A"/>
    <w:rsid w:val="00B47C68"/>
    <w:rsid w:val="00B5695A"/>
    <w:rsid w:val="00BA2B7F"/>
    <w:rsid w:val="00BA77A8"/>
    <w:rsid w:val="00BB3661"/>
    <w:rsid w:val="00BB4269"/>
    <w:rsid w:val="00BC4B7F"/>
    <w:rsid w:val="00BE076D"/>
    <w:rsid w:val="00BE4A47"/>
    <w:rsid w:val="00C00313"/>
    <w:rsid w:val="00C04074"/>
    <w:rsid w:val="00C04B81"/>
    <w:rsid w:val="00C33E4C"/>
    <w:rsid w:val="00CD5A26"/>
    <w:rsid w:val="00CE50FA"/>
    <w:rsid w:val="00D04171"/>
    <w:rsid w:val="00D04582"/>
    <w:rsid w:val="00D06C20"/>
    <w:rsid w:val="00D316BA"/>
    <w:rsid w:val="00D3392B"/>
    <w:rsid w:val="00D34745"/>
    <w:rsid w:val="00D55F86"/>
    <w:rsid w:val="00D65353"/>
    <w:rsid w:val="00D8696C"/>
    <w:rsid w:val="00D919BF"/>
    <w:rsid w:val="00DC3F67"/>
    <w:rsid w:val="00DD0C1D"/>
    <w:rsid w:val="00DE02F1"/>
    <w:rsid w:val="00DE2987"/>
    <w:rsid w:val="00E46D53"/>
    <w:rsid w:val="00E67222"/>
    <w:rsid w:val="00E80727"/>
    <w:rsid w:val="00E8155A"/>
    <w:rsid w:val="00E816F5"/>
    <w:rsid w:val="00E82284"/>
    <w:rsid w:val="00E879FF"/>
    <w:rsid w:val="00E95A0F"/>
    <w:rsid w:val="00EA3D6E"/>
    <w:rsid w:val="00EE7A2F"/>
    <w:rsid w:val="00F17ED8"/>
    <w:rsid w:val="00F37C88"/>
    <w:rsid w:val="00F444A8"/>
    <w:rsid w:val="00F5357A"/>
    <w:rsid w:val="00F55B95"/>
    <w:rsid w:val="00F56D69"/>
    <w:rsid w:val="00F9415B"/>
    <w:rsid w:val="00FC1677"/>
    <w:rsid w:val="00FD2903"/>
    <w:rsid w:val="00FE1291"/>
    <w:rsid w:val="00FE482B"/>
    <w:rsid w:val="00FF56AD"/>
    <w:rsid w:val="014D4F02"/>
    <w:rsid w:val="018D5F51"/>
    <w:rsid w:val="01EB6FEC"/>
    <w:rsid w:val="020578AC"/>
    <w:rsid w:val="02377743"/>
    <w:rsid w:val="026A609C"/>
    <w:rsid w:val="03357777"/>
    <w:rsid w:val="03C00FC5"/>
    <w:rsid w:val="03DB06FE"/>
    <w:rsid w:val="046E56D3"/>
    <w:rsid w:val="049D2AC6"/>
    <w:rsid w:val="04B16B62"/>
    <w:rsid w:val="05215177"/>
    <w:rsid w:val="054369B0"/>
    <w:rsid w:val="06106106"/>
    <w:rsid w:val="06490B74"/>
    <w:rsid w:val="06996718"/>
    <w:rsid w:val="06E52844"/>
    <w:rsid w:val="07026ACD"/>
    <w:rsid w:val="07E11269"/>
    <w:rsid w:val="08961A5A"/>
    <w:rsid w:val="08A96CC2"/>
    <w:rsid w:val="08D03FC7"/>
    <w:rsid w:val="09C1674F"/>
    <w:rsid w:val="0A0F44CD"/>
    <w:rsid w:val="0AA97A8C"/>
    <w:rsid w:val="0B047D48"/>
    <w:rsid w:val="0B9C5D9B"/>
    <w:rsid w:val="0BA27F6B"/>
    <w:rsid w:val="0C0D4BC6"/>
    <w:rsid w:val="0C510FA4"/>
    <w:rsid w:val="0C9E5955"/>
    <w:rsid w:val="0D4C0E51"/>
    <w:rsid w:val="0D511F69"/>
    <w:rsid w:val="0D5A24E8"/>
    <w:rsid w:val="0DC52C23"/>
    <w:rsid w:val="0DD002B9"/>
    <w:rsid w:val="0DF70178"/>
    <w:rsid w:val="0E3C3C0F"/>
    <w:rsid w:val="0E966946"/>
    <w:rsid w:val="0EE542A1"/>
    <w:rsid w:val="0F0E3C1D"/>
    <w:rsid w:val="0F2862EC"/>
    <w:rsid w:val="0F2F40E2"/>
    <w:rsid w:val="0F806FD5"/>
    <w:rsid w:val="0FE53808"/>
    <w:rsid w:val="105D61FB"/>
    <w:rsid w:val="10AF5991"/>
    <w:rsid w:val="117C0D4E"/>
    <w:rsid w:val="11BB3DB9"/>
    <w:rsid w:val="11D21B30"/>
    <w:rsid w:val="12282B0F"/>
    <w:rsid w:val="123B658C"/>
    <w:rsid w:val="12822D5D"/>
    <w:rsid w:val="12AD4D73"/>
    <w:rsid w:val="12CD4972"/>
    <w:rsid w:val="12FA2A1E"/>
    <w:rsid w:val="12FB08EA"/>
    <w:rsid w:val="1346373F"/>
    <w:rsid w:val="13B35082"/>
    <w:rsid w:val="142741A0"/>
    <w:rsid w:val="14F661AC"/>
    <w:rsid w:val="14FD2EFF"/>
    <w:rsid w:val="152A1DB0"/>
    <w:rsid w:val="155D4436"/>
    <w:rsid w:val="1637208E"/>
    <w:rsid w:val="16457F02"/>
    <w:rsid w:val="1675525F"/>
    <w:rsid w:val="169510B8"/>
    <w:rsid w:val="16B5042D"/>
    <w:rsid w:val="16DD4AF1"/>
    <w:rsid w:val="174C5C47"/>
    <w:rsid w:val="178D27B4"/>
    <w:rsid w:val="182014A2"/>
    <w:rsid w:val="18294E04"/>
    <w:rsid w:val="1892050E"/>
    <w:rsid w:val="18967A67"/>
    <w:rsid w:val="18D80C51"/>
    <w:rsid w:val="18EE0BF6"/>
    <w:rsid w:val="18FF0F1B"/>
    <w:rsid w:val="198557BA"/>
    <w:rsid w:val="19CE04CC"/>
    <w:rsid w:val="1A707A6D"/>
    <w:rsid w:val="1A7D6D25"/>
    <w:rsid w:val="1A816486"/>
    <w:rsid w:val="1A893942"/>
    <w:rsid w:val="1A907FA2"/>
    <w:rsid w:val="1AD533CC"/>
    <w:rsid w:val="1B5F5984"/>
    <w:rsid w:val="1BA64FD1"/>
    <w:rsid w:val="1BBC5A18"/>
    <w:rsid w:val="1BE97487"/>
    <w:rsid w:val="1C0536C9"/>
    <w:rsid w:val="1C6357AF"/>
    <w:rsid w:val="1CAC5E2B"/>
    <w:rsid w:val="1CDF5587"/>
    <w:rsid w:val="1CF10D78"/>
    <w:rsid w:val="1D023468"/>
    <w:rsid w:val="1D0736D5"/>
    <w:rsid w:val="1D5D728B"/>
    <w:rsid w:val="1D795BF8"/>
    <w:rsid w:val="1DE870CA"/>
    <w:rsid w:val="1E356AFA"/>
    <w:rsid w:val="1E724912"/>
    <w:rsid w:val="1E8F70B8"/>
    <w:rsid w:val="1E936936"/>
    <w:rsid w:val="1F4F61EE"/>
    <w:rsid w:val="1F527064"/>
    <w:rsid w:val="204A0870"/>
    <w:rsid w:val="20740963"/>
    <w:rsid w:val="20C822D8"/>
    <w:rsid w:val="21B36B87"/>
    <w:rsid w:val="21FA0627"/>
    <w:rsid w:val="220D5EC8"/>
    <w:rsid w:val="22220369"/>
    <w:rsid w:val="223431B1"/>
    <w:rsid w:val="223A7FB3"/>
    <w:rsid w:val="22A15AE0"/>
    <w:rsid w:val="22C149FC"/>
    <w:rsid w:val="22F1518B"/>
    <w:rsid w:val="238C25BD"/>
    <w:rsid w:val="246A62AE"/>
    <w:rsid w:val="24A91031"/>
    <w:rsid w:val="2540580E"/>
    <w:rsid w:val="254A0B53"/>
    <w:rsid w:val="25665B19"/>
    <w:rsid w:val="25E72FA7"/>
    <w:rsid w:val="271D00D1"/>
    <w:rsid w:val="273147E4"/>
    <w:rsid w:val="27487015"/>
    <w:rsid w:val="27A50231"/>
    <w:rsid w:val="27DC5671"/>
    <w:rsid w:val="28347384"/>
    <w:rsid w:val="287A4275"/>
    <w:rsid w:val="29711978"/>
    <w:rsid w:val="298634AE"/>
    <w:rsid w:val="2A567387"/>
    <w:rsid w:val="2AC21136"/>
    <w:rsid w:val="2AED21E9"/>
    <w:rsid w:val="2B3649F4"/>
    <w:rsid w:val="2B4675FA"/>
    <w:rsid w:val="2BB602C5"/>
    <w:rsid w:val="2BD85FC4"/>
    <w:rsid w:val="2BF50AB4"/>
    <w:rsid w:val="2C1C5AFD"/>
    <w:rsid w:val="2C527304"/>
    <w:rsid w:val="2CDB7E63"/>
    <w:rsid w:val="2D434FF8"/>
    <w:rsid w:val="2DA05DCE"/>
    <w:rsid w:val="2EC208DF"/>
    <w:rsid w:val="2F223C18"/>
    <w:rsid w:val="2F401A95"/>
    <w:rsid w:val="2F517C68"/>
    <w:rsid w:val="2F854CC7"/>
    <w:rsid w:val="2FDD2BC4"/>
    <w:rsid w:val="2FF679D7"/>
    <w:rsid w:val="3058472F"/>
    <w:rsid w:val="30653C55"/>
    <w:rsid w:val="307C6D47"/>
    <w:rsid w:val="30B93C1E"/>
    <w:rsid w:val="30F83A0E"/>
    <w:rsid w:val="320C78A0"/>
    <w:rsid w:val="322D4AD1"/>
    <w:rsid w:val="3235704A"/>
    <w:rsid w:val="32726967"/>
    <w:rsid w:val="329A0B6A"/>
    <w:rsid w:val="329D05C7"/>
    <w:rsid w:val="32C642E9"/>
    <w:rsid w:val="32D2088E"/>
    <w:rsid w:val="32E479BE"/>
    <w:rsid w:val="332573C9"/>
    <w:rsid w:val="3375578E"/>
    <w:rsid w:val="33E501C6"/>
    <w:rsid w:val="33F3040F"/>
    <w:rsid w:val="34854AB1"/>
    <w:rsid w:val="34A63F82"/>
    <w:rsid w:val="34BF4198"/>
    <w:rsid w:val="350A7012"/>
    <w:rsid w:val="35413D95"/>
    <w:rsid w:val="360161F0"/>
    <w:rsid w:val="36050641"/>
    <w:rsid w:val="361F6B5B"/>
    <w:rsid w:val="36365F0F"/>
    <w:rsid w:val="365C6B3D"/>
    <w:rsid w:val="369F292C"/>
    <w:rsid w:val="372651A6"/>
    <w:rsid w:val="379A4E61"/>
    <w:rsid w:val="37AC5C27"/>
    <w:rsid w:val="382265A3"/>
    <w:rsid w:val="385467B2"/>
    <w:rsid w:val="386B45BC"/>
    <w:rsid w:val="387A56B5"/>
    <w:rsid w:val="39223F50"/>
    <w:rsid w:val="394C6E9C"/>
    <w:rsid w:val="39915230"/>
    <w:rsid w:val="39A47D94"/>
    <w:rsid w:val="39B533F4"/>
    <w:rsid w:val="39CD5E4B"/>
    <w:rsid w:val="3A166DB1"/>
    <w:rsid w:val="3A6464DA"/>
    <w:rsid w:val="3B0D1F3F"/>
    <w:rsid w:val="3B35691C"/>
    <w:rsid w:val="3B376401"/>
    <w:rsid w:val="3B8B78CF"/>
    <w:rsid w:val="3C345451"/>
    <w:rsid w:val="3C691FB2"/>
    <w:rsid w:val="3CD93877"/>
    <w:rsid w:val="3D1957A0"/>
    <w:rsid w:val="3D3B3330"/>
    <w:rsid w:val="3D794D6C"/>
    <w:rsid w:val="3EB035E6"/>
    <w:rsid w:val="3F0976CF"/>
    <w:rsid w:val="3F996600"/>
    <w:rsid w:val="401A73E5"/>
    <w:rsid w:val="40270632"/>
    <w:rsid w:val="40897331"/>
    <w:rsid w:val="41084885"/>
    <w:rsid w:val="41204B42"/>
    <w:rsid w:val="413B574D"/>
    <w:rsid w:val="41637739"/>
    <w:rsid w:val="41A75327"/>
    <w:rsid w:val="42503F0E"/>
    <w:rsid w:val="42511776"/>
    <w:rsid w:val="425C3FD4"/>
    <w:rsid w:val="42726493"/>
    <w:rsid w:val="43A6660D"/>
    <w:rsid w:val="443A1E17"/>
    <w:rsid w:val="44C2436C"/>
    <w:rsid w:val="44D90650"/>
    <w:rsid w:val="45225B34"/>
    <w:rsid w:val="454247FC"/>
    <w:rsid w:val="456B1E84"/>
    <w:rsid w:val="45905D94"/>
    <w:rsid w:val="45937A12"/>
    <w:rsid w:val="45AB7274"/>
    <w:rsid w:val="45C2437E"/>
    <w:rsid w:val="46247283"/>
    <w:rsid w:val="464740FB"/>
    <w:rsid w:val="466B4F36"/>
    <w:rsid w:val="46945BA3"/>
    <w:rsid w:val="469C1860"/>
    <w:rsid w:val="48100387"/>
    <w:rsid w:val="48636ED0"/>
    <w:rsid w:val="489F1960"/>
    <w:rsid w:val="48AD6D6F"/>
    <w:rsid w:val="492F3120"/>
    <w:rsid w:val="498607AA"/>
    <w:rsid w:val="49866A44"/>
    <w:rsid w:val="4A646C71"/>
    <w:rsid w:val="4A73155F"/>
    <w:rsid w:val="4A974BFD"/>
    <w:rsid w:val="4B041272"/>
    <w:rsid w:val="4B673E2B"/>
    <w:rsid w:val="4B9A6CD9"/>
    <w:rsid w:val="4BCB7240"/>
    <w:rsid w:val="4CC42E4B"/>
    <w:rsid w:val="4CD55DF0"/>
    <w:rsid w:val="4D3F4977"/>
    <w:rsid w:val="4DA41B7F"/>
    <w:rsid w:val="4DED30E6"/>
    <w:rsid w:val="4E006899"/>
    <w:rsid w:val="4E4604CC"/>
    <w:rsid w:val="4E6B607B"/>
    <w:rsid w:val="4E7E67D5"/>
    <w:rsid w:val="4E834167"/>
    <w:rsid w:val="4EE704C2"/>
    <w:rsid w:val="500E145A"/>
    <w:rsid w:val="500E49CD"/>
    <w:rsid w:val="500F1CD5"/>
    <w:rsid w:val="50F30A3E"/>
    <w:rsid w:val="511D25A1"/>
    <w:rsid w:val="5143646D"/>
    <w:rsid w:val="51695710"/>
    <w:rsid w:val="51A36407"/>
    <w:rsid w:val="51D60B75"/>
    <w:rsid w:val="51D91B25"/>
    <w:rsid w:val="51DA4F03"/>
    <w:rsid w:val="5202225E"/>
    <w:rsid w:val="521557F3"/>
    <w:rsid w:val="52C77658"/>
    <w:rsid w:val="52DB0D77"/>
    <w:rsid w:val="53BF0718"/>
    <w:rsid w:val="54C77260"/>
    <w:rsid w:val="559A0A66"/>
    <w:rsid w:val="56444969"/>
    <w:rsid w:val="56516960"/>
    <w:rsid w:val="57176092"/>
    <w:rsid w:val="57262273"/>
    <w:rsid w:val="575C7B62"/>
    <w:rsid w:val="57DD0263"/>
    <w:rsid w:val="58083A83"/>
    <w:rsid w:val="581B10FA"/>
    <w:rsid w:val="582156EE"/>
    <w:rsid w:val="58427747"/>
    <w:rsid w:val="58642938"/>
    <w:rsid w:val="58B94C78"/>
    <w:rsid w:val="58BB4CDB"/>
    <w:rsid w:val="58F96B51"/>
    <w:rsid w:val="59AD702D"/>
    <w:rsid w:val="59D14CC4"/>
    <w:rsid w:val="59EF730D"/>
    <w:rsid w:val="59FF73A2"/>
    <w:rsid w:val="5A945937"/>
    <w:rsid w:val="5AA340C2"/>
    <w:rsid w:val="5AB6501F"/>
    <w:rsid w:val="5B9E1D5B"/>
    <w:rsid w:val="5BCB323C"/>
    <w:rsid w:val="5BF54EA0"/>
    <w:rsid w:val="5CAB0F09"/>
    <w:rsid w:val="5CC83D65"/>
    <w:rsid w:val="5D790E7F"/>
    <w:rsid w:val="5DC24B3C"/>
    <w:rsid w:val="5DC63A4E"/>
    <w:rsid w:val="5DED53D1"/>
    <w:rsid w:val="5E1B7959"/>
    <w:rsid w:val="5EAD142E"/>
    <w:rsid w:val="5EF76013"/>
    <w:rsid w:val="5EFE5A8B"/>
    <w:rsid w:val="5F3F3BFD"/>
    <w:rsid w:val="5F7071A8"/>
    <w:rsid w:val="5FC6181B"/>
    <w:rsid w:val="60066955"/>
    <w:rsid w:val="601211DC"/>
    <w:rsid w:val="60292197"/>
    <w:rsid w:val="610C5CC5"/>
    <w:rsid w:val="612829F8"/>
    <w:rsid w:val="619A0DA9"/>
    <w:rsid w:val="61C43619"/>
    <w:rsid w:val="62060BAA"/>
    <w:rsid w:val="6210426E"/>
    <w:rsid w:val="62126C3A"/>
    <w:rsid w:val="62325267"/>
    <w:rsid w:val="62416227"/>
    <w:rsid w:val="63510BEE"/>
    <w:rsid w:val="637E758B"/>
    <w:rsid w:val="638119A8"/>
    <w:rsid w:val="642D51FD"/>
    <w:rsid w:val="64312382"/>
    <w:rsid w:val="644E4B1D"/>
    <w:rsid w:val="64651B49"/>
    <w:rsid w:val="648C2CC5"/>
    <w:rsid w:val="64A11C37"/>
    <w:rsid w:val="64A55F1E"/>
    <w:rsid w:val="652C5EC9"/>
    <w:rsid w:val="65353764"/>
    <w:rsid w:val="657171FE"/>
    <w:rsid w:val="65A46AEA"/>
    <w:rsid w:val="65EC5F0A"/>
    <w:rsid w:val="65EE67C8"/>
    <w:rsid w:val="66EC4D96"/>
    <w:rsid w:val="6736101B"/>
    <w:rsid w:val="677E69F4"/>
    <w:rsid w:val="68370CCC"/>
    <w:rsid w:val="684D7DEF"/>
    <w:rsid w:val="68585ADF"/>
    <w:rsid w:val="68A77809"/>
    <w:rsid w:val="68C94029"/>
    <w:rsid w:val="695217DC"/>
    <w:rsid w:val="69923628"/>
    <w:rsid w:val="69C37032"/>
    <w:rsid w:val="69F57324"/>
    <w:rsid w:val="6A2C55E6"/>
    <w:rsid w:val="6A5034F9"/>
    <w:rsid w:val="6AFC54E5"/>
    <w:rsid w:val="6B2F26F6"/>
    <w:rsid w:val="6B570828"/>
    <w:rsid w:val="6B895F90"/>
    <w:rsid w:val="6BD916EE"/>
    <w:rsid w:val="6C4D2A67"/>
    <w:rsid w:val="6CCA1A7F"/>
    <w:rsid w:val="6CCA2908"/>
    <w:rsid w:val="6D7E50D5"/>
    <w:rsid w:val="6D966B59"/>
    <w:rsid w:val="6DAB546F"/>
    <w:rsid w:val="6DD3641A"/>
    <w:rsid w:val="6E035291"/>
    <w:rsid w:val="6E1206A4"/>
    <w:rsid w:val="6E5A3D7E"/>
    <w:rsid w:val="6FC85320"/>
    <w:rsid w:val="6FDA39D8"/>
    <w:rsid w:val="6FDB28A3"/>
    <w:rsid w:val="6FE32862"/>
    <w:rsid w:val="703933A1"/>
    <w:rsid w:val="7077672F"/>
    <w:rsid w:val="70AA0758"/>
    <w:rsid w:val="70B61502"/>
    <w:rsid w:val="70CE17C7"/>
    <w:rsid w:val="70F5166C"/>
    <w:rsid w:val="710B168A"/>
    <w:rsid w:val="71981EC0"/>
    <w:rsid w:val="71EF5ACB"/>
    <w:rsid w:val="72145BFB"/>
    <w:rsid w:val="722B706A"/>
    <w:rsid w:val="723369CC"/>
    <w:rsid w:val="723B233B"/>
    <w:rsid w:val="724F5D5C"/>
    <w:rsid w:val="72595DB6"/>
    <w:rsid w:val="72850EF0"/>
    <w:rsid w:val="728E0A16"/>
    <w:rsid w:val="729371FE"/>
    <w:rsid w:val="72C43ABF"/>
    <w:rsid w:val="72E929DE"/>
    <w:rsid w:val="72EF2B1D"/>
    <w:rsid w:val="73655FDF"/>
    <w:rsid w:val="738D015F"/>
    <w:rsid w:val="73990B03"/>
    <w:rsid w:val="745751F5"/>
    <w:rsid w:val="74892FD1"/>
    <w:rsid w:val="74CF7316"/>
    <w:rsid w:val="74FB18F9"/>
    <w:rsid w:val="75616560"/>
    <w:rsid w:val="75753395"/>
    <w:rsid w:val="75E158E8"/>
    <w:rsid w:val="75F80517"/>
    <w:rsid w:val="769C48A8"/>
    <w:rsid w:val="76C57715"/>
    <w:rsid w:val="771479EA"/>
    <w:rsid w:val="771C35A1"/>
    <w:rsid w:val="77A03719"/>
    <w:rsid w:val="78223427"/>
    <w:rsid w:val="789923C9"/>
    <w:rsid w:val="78A4259B"/>
    <w:rsid w:val="78C31CAF"/>
    <w:rsid w:val="78C3642C"/>
    <w:rsid w:val="78CE6E70"/>
    <w:rsid w:val="78FC6178"/>
    <w:rsid w:val="795B3486"/>
    <w:rsid w:val="79B75ECC"/>
    <w:rsid w:val="79E45FD6"/>
    <w:rsid w:val="7A52270E"/>
    <w:rsid w:val="7AD0105B"/>
    <w:rsid w:val="7AF92581"/>
    <w:rsid w:val="7B044A15"/>
    <w:rsid w:val="7B170E00"/>
    <w:rsid w:val="7B3057E8"/>
    <w:rsid w:val="7B3A013A"/>
    <w:rsid w:val="7B471A04"/>
    <w:rsid w:val="7B655D19"/>
    <w:rsid w:val="7C721F5F"/>
    <w:rsid w:val="7C7D36C4"/>
    <w:rsid w:val="7D197A3B"/>
    <w:rsid w:val="7D1F7EDB"/>
    <w:rsid w:val="7D3707EB"/>
    <w:rsid w:val="7D772F67"/>
    <w:rsid w:val="7DAC4B36"/>
    <w:rsid w:val="7DCC4BF0"/>
    <w:rsid w:val="7E431677"/>
    <w:rsid w:val="7E5572E2"/>
    <w:rsid w:val="7E9A3A0C"/>
    <w:rsid w:val="7ED67996"/>
    <w:rsid w:val="7F116F65"/>
    <w:rsid w:val="7F516160"/>
    <w:rsid w:val="7F976FF4"/>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19</Pages>
  <Words>18183</Words>
  <Characters>18762</Characters>
  <Lines>138</Lines>
  <Paragraphs>38</Paragraphs>
  <TotalTime>1</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2022-12-28T12:32:00Z</dcterms:created>
  <dc:creator>ylh</dc:creator>
  <cp:keywords>新版;22-12-28</cp:keywords>
  <cp:lastModifiedBy>张玲榕</cp:lastModifiedBy>
  <dcterms:modified xsi:type="dcterms:W3CDTF">2025-08-07T06:02:56Z</dcterms:modified>
  <dc:title>华夏理财固定收益增强最短持有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8CE437FCC42641668942D79D85C758DC</vt:lpwstr>
  </property>
</Properties>
</file>