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837" w:lineRule="atLeast"/>
        <w:jc w:val="center"/>
        <w:outlineLvl w:val="1"/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幸福99鸿益（金盈）270天持有期理财C款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产品要素调整公告</w:t>
      </w:r>
    </w:p>
    <w:p>
      <w:pPr>
        <w:widowControl/>
        <w:spacing w:before="100" w:beforeAutospacing="1" w:after="100" w:afterAutospacing="1" w:line="360" w:lineRule="auto"/>
        <w:ind w:firstLine="600"/>
        <w:jc w:val="left"/>
        <w:rPr>
          <w:rFonts w:hint="eastAsia" w:ascii="宋体" w:hAnsi="宋体" w:eastAsia="宋体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30"/>
          <w:szCs w:val="30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600"/>
        <w:jc w:val="left"/>
        <w:rPr>
          <w:rFonts w:hint="eastAsia" w:ascii="宋体" w:hAnsi="宋体" w:eastAsia="宋体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30"/>
          <w:szCs w:val="30"/>
          <w:lang w:eastAsia="zh-CN"/>
        </w:rPr>
        <w:t>幸福99鸿益（金盈）270天持有期理财C款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</w:rPr>
        <w:t>（产品代码：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  <w:lang w:eastAsia="zh-CN"/>
        </w:rPr>
        <w:t>HYGC270D2407C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</w:rPr>
        <w:t>）将于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  <w:lang w:eastAsia="zh-CN"/>
        </w:rPr>
        <w:t>2025年8月6日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</w:rPr>
        <w:t>起调整产品要素，具体如下：</w:t>
      </w:r>
    </w:p>
    <w:tbl>
      <w:tblPr>
        <w:tblStyle w:val="8"/>
        <w:tblW w:w="89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2238"/>
        <w:gridCol w:w="1873"/>
        <w:gridCol w:w="1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产品要素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调整前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调整后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生效日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单户持有上限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HYGC270D2407C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〖5000万〗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〖1亿〗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2025-08-06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  <w:bookmarkStart w:id="0" w:name="_GoBack"/>
      <w:bookmarkEnd w:id="0"/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540" w:firstLineChars="200"/>
        <w:contextualSpacing/>
        <w:jc w:val="left"/>
        <w:rPr>
          <w:rFonts w:hint="eastAsia" w:ascii="宋体" w:hAnsi="宋体" w:eastAsia="宋体" w:cs="宋体"/>
          <w:color w:val="333333"/>
          <w:kern w:val="0"/>
          <w:sz w:val="27"/>
          <w:szCs w:val="27"/>
        </w:rPr>
      </w:pPr>
    </w:p>
    <w:p>
      <w:pPr>
        <w:ind w:firstLine="560" w:firstLineChars="200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杭银理财有限责任公司</w:t>
      </w:r>
    </w:p>
    <w:p>
      <w:pPr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2025年7月31日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3E09A9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6F3936E"/>
    <w:rsid w:val="78FB4CF4"/>
    <w:rsid w:val="79E32EAD"/>
    <w:rsid w:val="7B4A3932"/>
    <w:rsid w:val="7C90559F"/>
    <w:rsid w:val="7D875343"/>
    <w:rsid w:val="7DAF8629"/>
    <w:rsid w:val="7EF7C949"/>
    <w:rsid w:val="D5A68155"/>
    <w:rsid w:val="D75E677A"/>
    <w:rsid w:val="DBFF3771"/>
    <w:rsid w:val="F9EF8A79"/>
    <w:rsid w:val="FDDED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923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2022-08-19T06:47:00Z</dcterms:created>
  <dc:creator>Administrator</dc:creator>
  <cp:lastModifiedBy>Administrator</cp:lastModifiedBy>
  <dcterms:modified xsi:type="dcterms:W3CDTF">2025-07-29T03:30:08Z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