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Types>
</file>

<file path=_rels/.rels><?xml version="1.0" encoding="UTF-8" standalone="yes"?><Relationships xmlns="http://schemas.openxmlformats.org/package/2006/relationships"><Relationship Id="rId1" Target="word/document.xml" Type="http://schemas.openxmlformats.org/officeDocument/2006/relationships/officeDocument"/><Relationship Id="rId2" Target="docProps/app.xml" Type="http://schemas.openxmlformats.org/officeDocument/2006/relationships/extended-properties"/><Relationship Id="rId3" Target="docProps/core.xml" Type="http://schemas.openxmlformats.org/package/2006/relationships/metadata/core-properties"/></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xmlns:w15="http://schemas.microsoft.com/office/word/2012/wordml" xmlns:aink="http://schemas.microsoft.com/office/drawing/2016/ink" xmlns:w16se="http://schemas.microsoft.com/office/word/2015/wordml/symex" xmlns:w16sdtdh="http://schemas.microsoft.com/office/word/2020/wordml/sdtdatahash" xmlns:am3d="http://schemas.microsoft.com/office/drawing/2017/model3d" xmlns:oel="http://schemas.microsoft.com/office/2019/extlst" xmlns:cx2="http://schemas.microsoft.com/office/drawing/2015/10/21/chartex" xmlns:cx1="http://schemas.microsoft.com/office/drawing/2015/9/8/chartex" xmlns:w16="http://schemas.microsoft.com/office/word/2018/wordml" xmlns:cx4="http://schemas.microsoft.com/office/drawing/2016/5/10/chartex" xmlns:cx3="http://schemas.microsoft.com/office/drawing/2016/5/9/chartex" xmlns:cx6="http://schemas.microsoft.com/office/drawing/2016/5/12/chartex" xmlns:cx5="http://schemas.microsoft.com/office/drawing/2016/5/11/chartex" xmlns:cx8="http://schemas.microsoft.com/office/drawing/2016/5/14/chartex" xmlns:cx7="http://schemas.microsoft.com/office/drawing/2016/5/13/chartex" xmlns:w16cex="http://schemas.microsoft.com/office/word/2018/wordml/cex" xmlns:cx="http://schemas.microsoft.com/office/drawing/2014/chartex" xmlns:w16cid="http://schemas.microsoft.com/office/word/2016/wordml/cid" mc:Ignorable="w14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1.42%-2.02%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1.33%-1.93%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1.47%-2.07%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1.57%-2.17%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pStyle w:val="1"/>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pStyle w:val="1"/>
        <w:widowControl/>
        <w:adjustRightInd w:val="0"/>
        <w:snapToGrid w:val="0"/>
        <w:spacing w:line="276" w:lineRule="auto"/>
        <w:ind w:firstLine="480" w:firstLineChars="200"/>
        <w:contextualSpacing/>
        <w:rPr>
          <w:rFonts w:ascii="仿宋" w:hAnsi="仿宋" w:eastAsia="仿宋" w:cs="宋体"/>
          <w:kern w:val="0"/>
          <w:sz w:val="24"/>
        </w:rPr>
      </w:pP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pStyle w:val="1"/>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pStyle w:val="1"/>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pStyle w:val="1"/>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pStyle w:val="1"/>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pStyle w:val="1"/>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pStyle w:val="1"/>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pStyle w:val="1"/>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pStyle w:val="1"/>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pStyle w:val="1"/>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pStyle w:val="1"/>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pStyle w:val="1"/>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pStyle w:val="1"/>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pStyle w:val="1"/>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pStyle w:val="1"/>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pStyle w:val="1"/>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pStyle w:val="1"/>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pStyle w:val="1"/>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pStyle w:val="1"/>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kern w:val="0"/>
          <w:sz w:val="24"/>
        </w:rPr>
      </w:pPr>
    </w:p>
    <w:p>
      <w:pPr>
        <w:pStyle w:val="1"/>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pStyle w:val="1"/>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pStyle w:val="1"/>
        <w:autoSpaceDE w:val="0"/>
        <w:autoSpaceDN w:val="0"/>
        <w:adjustRightInd w:val="0"/>
        <w:snapToGrid w:val="0"/>
        <w:spacing w:line="276" w:lineRule="auto"/>
        <w:contextualSpacing/>
        <w:jc w:val="left"/>
        <w:rPr>
          <w:rFonts w:ascii="仿宋" w:hAnsi="仿宋" w:eastAsia="仿宋" w:cs="宋体"/>
          <w:color w:val="000000"/>
          <w:kern w:val="0"/>
          <w:sz w:val="24"/>
        </w:rPr>
      </w:pPr>
    </w:p>
    <w:p>
      <w:pPr>
        <w:pStyle w:val="1"/>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p>
      <w:pPr>
        <w:pStyle w:val="1"/>
        <w:pageBreakBefore w:val="true"/>
      </w:pPr>
    </w:p>
    <w:p w14:paraId="15AD1C30" w14:textId="3D567609" w:rsidR="00000000" w:rsidRDefault="00A80ECA">
      <w:pPr>
        <w:pStyle w:val="a"/>
        <w:rPr>
          <w:rFonts w:ascii="微软简标宋" w:eastAsia="微软简标宋" w:hint="eastAsia"/>
          <w:sz w:val="28"/>
          <w:szCs w:val="28"/>
        </w:rPr>
      </w:pPr>
      <w:r>
        <w:rPr>
          <w:rFonts w:ascii="微软简仿宋" w:eastAsia="微软简仿宋"/>
          <w:noProof/>
          <w:sz w:val="32"/>
          <w:szCs w:val="32"/>
        </w:rPr>
        <w:drawing>
          <wp:inline distT="0" distB="0" distL="0" distR="0" wp14:anchorId="7760118B" wp14:editId="294EC303">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2D1F0992" w14:textId="77777777" w:rsidR="00000000" w:rsidRDefault="00000000">
      <w:pPr>
        <w:pStyle w:val="a"/>
        <w:spacing w:line="360" w:lineRule="exact"/>
        <w:jc w:val="center"/>
        <w:rPr>
          <w:rFonts w:ascii="微软简标宋" w:eastAsia="微软简标宋" w:hAnsi="宋体" w:cs="宋体" w:hint="eastAsia"/>
          <w:sz w:val="28"/>
          <w:szCs w:val="28"/>
        </w:rPr>
      </w:pPr>
      <w:r>
        <w:rPr>
          <w:rFonts w:ascii="微软简标宋" w:eastAsia="微软简标宋" w:hint="eastAsia"/>
          <w:sz w:val="28"/>
          <w:szCs w:val="28"/>
        </w:rPr>
        <w:t>华夏理财有限责任公司个人理财产品风险揭示书</w:t>
      </w:r>
    </w:p>
    <w:p w14:paraId="1ABEFF5B" w14:textId="77777777" w:rsidR="00000000" w:rsidRDefault="00000000">
      <w:pPr>
        <w:pStyle w:val="a"/>
        <w:spacing w:line="360" w:lineRule="exact"/>
        <w:jc w:val="center"/>
        <w:rPr>
          <w:rFonts w:ascii="微软简标宋" w:eastAsia="微软简标宋" w:hAnsi="宋体" w:cs="宋体" w:hint="eastAsia"/>
          <w:sz w:val="28"/>
          <w:szCs w:val="28"/>
        </w:rPr>
      </w:pPr>
    </w:p>
    <w:p w14:paraId="2C570D51" w14:textId="77777777" w:rsidR="00000000" w:rsidRDefault="00000000">
      <w:pPr>
        <w:pStyle w:val="a"/>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2A6AC4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b/>
          <w:szCs w:val="21"/>
        </w:rPr>
        <w:t>理财非存款、产品有风险、投资须谨慎。</w:t>
      </w:r>
      <w:r>
        <w:rPr>
          <w:rFonts w:ascii="微软简仿宋" w:eastAsia="微软简仿宋" w:hint="eastAsia"/>
          <w:szCs w:val="21"/>
        </w:rPr>
        <w:t>由于理财资金在管理运用过程中，可能会面临多种风险因素，根据</w:t>
      </w:r>
      <w:r>
        <w:rPr>
          <w:rFonts w:ascii="微软简仿宋" w:eastAsia="微软简仿宋" w:hint="eastAsia"/>
          <w:color w:val="000000"/>
          <w:szCs w:val="21"/>
        </w:rPr>
        <w:t>中国银行保险监督管理委员会</w:t>
      </w:r>
      <w:r>
        <w:rPr>
          <w:rFonts w:ascii="微软简仿宋" w:eastAsia="微软简仿宋" w:hint="eastAsia"/>
          <w:szCs w:val="21"/>
        </w:rPr>
        <w:t>相关监管规定，在您选择购买华夏理财有限责任公司（以下简称：华夏理财/本公司）理财产品前，请仔细阅读以下重要内容：</w:t>
      </w:r>
    </w:p>
    <w:p w14:paraId="6F2CD19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一、风险揭示</w:t>
      </w:r>
    </w:p>
    <w:p w14:paraId="2570D8CF" w14:textId="77777777" w:rsidR="00000000" w:rsidRDefault="00000000">
      <w:pPr>
        <w:pStyle w:val="a"/>
        <w:spacing w:line="360" w:lineRule="exact"/>
        <w:ind w:left="180" w:firstLineChars="200" w:firstLine="420"/>
        <w:rPr>
          <w:rFonts w:ascii="微软简仿宋" w:eastAsia="微软简仿宋" w:hint="eastAsia"/>
          <w:b/>
          <w:bCs/>
          <w:szCs w:val="21"/>
        </w:rPr>
      </w:pPr>
      <w:r>
        <w:rPr>
          <w:rFonts w:ascii="微软简仿宋" w:eastAsia="微软简仿宋" w:hint="eastAsia"/>
          <w:b/>
          <w:bCs/>
          <w:szCs w:val="21"/>
        </w:rPr>
        <w:t>1.关联关系风险：理财产品的代理销售机构</w:t>
      </w:r>
      <w:bookmarkStart w:id="0" w:name="_Hlk76301827"/>
      <w:r>
        <w:rPr>
          <w:rFonts w:ascii="微软简仿宋" w:eastAsia="微软简仿宋" w:hint="eastAsia"/>
          <w:b/>
          <w:bCs/>
          <w:szCs w:val="21"/>
        </w:rPr>
        <w:t>（以下简称“代销机构”）</w:t>
      </w:r>
      <w:bookmarkEnd w:id="0"/>
      <w:r>
        <w:rPr>
          <w:rFonts w:ascii="微软简仿宋" w:eastAsia="微软简仿宋" w:hint="eastAsia"/>
          <w:b/>
          <w:bCs/>
          <w:szCs w:val="21"/>
        </w:rPr>
        <w:t>与托管人可能为产品管理人的关联方，华夏理财已履行了现行法律法规和监管规定的必要程序。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代销机构可能包含华夏银行股份有限公司，其为华夏理财的控股股东，二者存在关联关系。如因存在关联关系，导致代销机构对本理财产品未能进行独立、审慎判断或放松准入管理，可能会给投资者造成潜在风险。</w:t>
      </w:r>
    </w:p>
    <w:p w14:paraId="753A3FF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2.本金及理财收益风险：理财产品不保证本金及理财收益，理财收益来源于理财产品项下投资组合的回报，容易受到企业信用状况变化、市场利率变化、汇率变化、投资组合运作情况以及投资管理方投资能力等因素的影响，在最不利的情况下，理财产品的收益率可能为零，并有可能损失本金，由此产生的风险由投资者自行承担。</w:t>
      </w:r>
    </w:p>
    <w:p w14:paraId="56B4942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3.信用风险：如理财产品所投资的资产发行人、资产管理计划管理人、信托受托人、债务人、担保人（如有）等相关主体发生违约，可能导致无法按时支付本金及理财收益，进而导致理财产品收益为零甚至本金遭受损失。</w:t>
      </w:r>
    </w:p>
    <w:p w14:paraId="68A3DF8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4.市场风险：本理财产品为非保本浮动收益净值型理财产品，不排除因资产价格、利率、信用、汇率以及国家政策等的变动导致理财产品净值遭受损失的可能。</w:t>
      </w:r>
    </w:p>
    <w:p w14:paraId="71C40015"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5.流动性风险：除非出现理财产品说明书约定的情况，投资者无权随时提前赎回或终止理财产品，可能导致投资者需要资金时不能随时变现，并可能丧失其他投资机会。</w:t>
      </w:r>
    </w:p>
    <w:p w14:paraId="074419F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6.投资风险：理财产品的实际收益取决于所投资金融工具的收益，投资者应对此有充分的认识。本风险揭示书中任何业绩基准、收益示例或类似表述均不具有法律约束力，不代表投资者可能获得的实际收益，亦不构成华夏理财/代销机构对理财产品的任何收益承诺。</w:t>
      </w:r>
    </w:p>
    <w:p w14:paraId="5AA6028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7.汇率风险：投资境外资产时，以非本币计价的各类资产受汇率波动影响而引起本币估值下的委托财产的价格波动的风险。若理财产品的投资及收益币种是人民币，在以人民币投资外汇计价资产时，除了投资资产本身的收益/损失外，汇率变化会带来额外的损失或收益，从而对投资者收益产生影响；反之亦然。</w:t>
      </w:r>
    </w:p>
    <w:p w14:paraId="2DBD0742"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8.法律及政策风险：理财产品是针对当前的相关法规和政策设计的。如国家宏观政策以及市场相关法规政策发生变化，可能影响理财产品的销售规则、投资运作和产品收益，甚至造成本金损失；</w:t>
      </w:r>
    </w:p>
    <w:p w14:paraId="47CC4A9D"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9.理财产品不成立风险：募集期结束，如理财产品募集总金额未达到发行规模下限；或者市场发生重大变化，华夏理财无法或者经其合理判断难以按照产品说明书向投资者提供理财产品；或者法律法规、监管规定、国家政策发生变化导致无法按照产品说明书向投资者提供理财产品，华夏理财有权宣布理财产品不成立。</w:t>
      </w:r>
    </w:p>
    <w:p w14:paraId="0357487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10.提前终止风险：如遇理财产品说明书中提前终止权条款中约定的情形，华夏理财有权提前终止理财产品，投资者可能无法实现期初预计的收益、收益为零甚至损失理财本金。</w:t>
      </w:r>
    </w:p>
    <w:p w14:paraId="4684F359"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11.延期风险：如因理财产品投资的资产发行人、资产管理计划管理人、信托受托人、债务人、担</w:t>
      </w:r>
      <w:r>
        <w:rPr>
          <w:rFonts w:ascii="微软简仿宋" w:eastAsia="微软简仿宋" w:hint="eastAsia"/>
          <w:szCs w:val="21"/>
        </w:rPr>
        <w:lastRenderedPageBreak/>
        <w:t>保人（如有）等主体发生违约，导致理财产品不能按时偿付本金及理财收益；或因市场成交量不足、资产限制赎回、暂停交易、缺乏意愿交易对手等原因，管理人未能及时完成资产变现，则理财产品期限将相应延长。</w:t>
      </w:r>
    </w:p>
    <w:p w14:paraId="7578748C"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12.信息传递风险：华夏理财按照产品说明书有关信息披露的约定，发布理财产品的信息。投资者应根据信息披露的约定及时查询。如果投资者因未及时查询而未能及时了解理财产品信息，并由此影响投资者的投资决策，因此产生的责任和风险由投资者自行承担。另外，投资者预留在华夏理财/代销机构的有效联系方式变更的，应及时通知华夏理财/代销机构。因投资者未及时告知导致的信息传递风险由投资者自行承担。</w:t>
      </w:r>
    </w:p>
    <w:p w14:paraId="291C092F"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13.其他风险：指由于自然灾害、战争或国家政策变化等不能预见、不能避免、不能克服的不可抗力或非华夏理财原因发生的计算机系统故障、网络故障、通讯故障、电力故障等导致理财资产收益降低或损失，进而影响理财产品收益和本金安全。</w:t>
      </w:r>
    </w:p>
    <w:p w14:paraId="339920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int="eastAsia"/>
          <w:szCs w:val="21"/>
        </w:rPr>
        <w:t>二、投资者提示</w:t>
      </w:r>
    </w:p>
    <w:p w14:paraId="1479D83D" w14:textId="77777777" w:rsidR="00000000" w:rsidRDefault="00000000">
      <w:pPr>
        <w:pStyle w:val="a"/>
        <w:autoSpaceDE w:val="0"/>
        <w:autoSpaceDN w:val="0"/>
        <w:adjustRightInd w:val="0"/>
        <w:spacing w:line="360" w:lineRule="exact"/>
        <w:ind w:leftChars="103" w:left="216" w:firstLineChars="200" w:firstLine="420"/>
        <w:rPr>
          <w:rFonts w:ascii="微软简仿宋" w:eastAsia="微软简仿宋" w:hint="eastAsia"/>
          <w:szCs w:val="21"/>
        </w:rPr>
      </w:pPr>
      <w:r>
        <w:rPr>
          <w:rFonts w:ascii="微软简仿宋" w:eastAsia="微软简仿宋" w:hint="eastAsia"/>
          <w:szCs w:val="21"/>
        </w:rPr>
        <w:t>在购买本公司理财产品前，请仔细阅读理财产品销售文件的全部内容，</w:t>
      </w:r>
      <w:r>
        <w:rPr>
          <w:rFonts w:ascii="微软简仿宋" w:eastAsia="微软简仿宋"/>
          <w:szCs w:val="21"/>
        </w:rPr>
        <w:t>其中</w:t>
      </w:r>
      <w:r>
        <w:rPr>
          <w:rFonts w:ascii="微软简仿宋" w:eastAsia="微软简仿宋" w:hint="eastAsia"/>
          <w:szCs w:val="21"/>
        </w:rPr>
        <w:t>理财产品销售文件包含本</w:t>
      </w:r>
      <w:r>
        <w:rPr>
          <w:rFonts w:ascii="微软简仿宋" w:eastAsia="微软简仿宋"/>
          <w:szCs w:val="21"/>
        </w:rPr>
        <w:t>风险揭示书、理财产品投资协议书、</w:t>
      </w:r>
      <w:r>
        <w:rPr>
          <w:rFonts w:ascii="微软简仿宋" w:eastAsia="微软简仿宋" w:hint="eastAsia"/>
          <w:color w:val="000000"/>
          <w:szCs w:val="21"/>
        </w:rPr>
        <w:t>销售（代理销售）协议书、理财</w:t>
      </w:r>
      <w:r>
        <w:rPr>
          <w:rFonts w:ascii="微软简仿宋" w:eastAsia="微软简仿宋"/>
          <w:color w:val="000000"/>
          <w:szCs w:val="21"/>
        </w:rPr>
        <w:t>产品说明书、</w:t>
      </w:r>
      <w:r>
        <w:rPr>
          <w:rFonts w:ascii="微软简仿宋" w:eastAsia="微软简仿宋" w:hint="eastAsia"/>
          <w:color w:val="000000"/>
          <w:szCs w:val="21"/>
        </w:rPr>
        <w:t>投资者权益须知</w:t>
      </w:r>
      <w:r>
        <w:rPr>
          <w:rFonts w:ascii="微软简仿宋" w:eastAsia="微软简仿宋"/>
          <w:color w:val="000000"/>
          <w:szCs w:val="21"/>
        </w:rPr>
        <w:t>及</w:t>
      </w:r>
      <w:r>
        <w:rPr>
          <w:rFonts w:ascii="微软简仿宋" w:eastAsia="微软简仿宋" w:hint="eastAsia"/>
          <w:color w:val="000000"/>
          <w:szCs w:val="21"/>
        </w:rPr>
        <w:t>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r>
        <w:rPr>
          <w:rFonts w:ascii="微软简仿宋" w:eastAsia="微软简仿宋" w:hint="eastAsia"/>
          <w:szCs w:val="21"/>
        </w:rPr>
        <w:t>。请了解理财产品的所有相关情况，</w:t>
      </w:r>
      <w:r>
        <w:rPr>
          <w:rFonts w:ascii="微软简仿宋" w:eastAsia="微软简仿宋" w:hint="eastAsia"/>
          <w:b/>
          <w:szCs w:val="21"/>
        </w:rPr>
        <w:t>尤其是理财产品说明书中的风险揭示内容</w:t>
      </w:r>
      <w:r>
        <w:rPr>
          <w:rFonts w:ascii="微软简仿宋" w:eastAsia="微软简仿宋" w:hint="eastAsia"/>
          <w:szCs w:val="21"/>
        </w:rPr>
        <w:t>。此外，还请了解所购买理财产品的类型特点和存在的最不利投资情形：</w:t>
      </w:r>
    </w:p>
    <w:p w14:paraId="2169459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int="eastAsia"/>
          <w:szCs w:val="21"/>
        </w:rPr>
        <w:t>1.</w:t>
      </w:r>
      <w:r>
        <w:rPr>
          <w:rFonts w:ascii="微软简仿宋" w:eastAsia="微软简仿宋" w:hint="eastAsia"/>
          <w:b/>
          <w:bCs/>
          <w:szCs w:val="21"/>
        </w:rPr>
        <w:t>产品特点确认：</w:t>
      </w:r>
      <w:r>
        <w:rPr>
          <w:rFonts w:ascii="微软简仿宋" w:eastAsia="微软简仿宋" w:hAnsi="宋体" w:cs="宋体" w:hint="eastAsia"/>
          <w:kern w:val="0"/>
          <w:szCs w:val="21"/>
        </w:rPr>
        <w:t>请您注意投资风险，仔细阅读理财产品销售文件，了解理财产品具体情况：</w:t>
      </w:r>
    </w:p>
    <w:p w14:paraId="5E9FC337"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（1）确认已经了解产品的特点，包括收益类型、投资期限、风险要素、投资范围</w:t>
      </w:r>
      <w:r>
        <w:rPr>
          <w:rFonts w:ascii="宋体" w:hAnsi="宋体" w:cs="宋体" w:hint="eastAsia"/>
          <w:kern w:val="0"/>
          <w:szCs w:val="21"/>
        </w:rPr>
        <w:t>、</w:t>
      </w:r>
      <w:r>
        <w:rPr>
          <w:rFonts w:ascii="微软简仿宋" w:eastAsia="微软简仿宋" w:hAnsi="宋体" w:cs="宋体" w:hint="eastAsia"/>
          <w:kern w:val="0"/>
          <w:szCs w:val="21"/>
        </w:rPr>
        <w:t>适合投资者范围等；</w:t>
      </w:r>
    </w:p>
    <w:p w14:paraId="3210FD8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（2）确认已经了解产品的业绩基准及募集/开放期购买、赎回、撤销交易申请、资金扣划及到账相关规则；</w:t>
      </w:r>
    </w:p>
    <w:p w14:paraId="50DA269D"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（3）确认已经了解产品流动性，包括产品是否允许客户撤销申请、是否允许客户提前赎回、管理人是否有权提前终止、产品交易日、交易时间、收益计算依据等要点。</w:t>
      </w:r>
    </w:p>
    <w:p w14:paraId="5C082C53"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2.</w:t>
      </w:r>
      <w:r>
        <w:rPr>
          <w:rFonts w:ascii="微软简仿宋" w:eastAsia="微软简仿宋" w:hint="eastAsia"/>
          <w:b/>
          <w:bCs/>
          <w:szCs w:val="21"/>
        </w:rPr>
        <w:t>产品类型风险告知：</w:t>
      </w:r>
      <w:r>
        <w:rPr>
          <w:rFonts w:ascii="微软简仿宋" w:eastAsia="微软简仿宋" w:hint="eastAsia"/>
          <w:szCs w:val="21"/>
        </w:rPr>
        <w:t>本理财产品为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净值型</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产品，产品代码为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21112001D</w:t>
      </w:r>
      <w:r w:rsidR="00857E2C">
        <w:rPr>
          <w:rFonts w:ascii="微软简仿宋" w:eastAsia="微软简仿宋" w:hint="eastAsia"/>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，期限为</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1天</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int="eastAsia"/>
          <w:color w:val="000000"/>
          <w:szCs w:val="21"/>
        </w:rPr>
        <w:t>具体信息详见产品说明书，风</w:t>
      </w:r>
      <w:r>
        <w:rPr>
          <w:rFonts w:ascii="微软简仿宋" w:eastAsia="微软简仿宋" w:hAnsi="宋体" w:cs="宋体" w:hint="eastAsia"/>
          <w:kern w:val="0"/>
          <w:szCs w:val="21"/>
        </w:rPr>
        <w:t>险评级为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857E2C">
        <w:rPr>
          <w:rFonts w:ascii="微软简仿宋" w:eastAsia="微软简仿宋" w:hint="eastAsia"/>
          <w:color w:val="000000"/>
          <w:szCs w:val="21"/>
          <w:u w:val="single"/>
        </w:rPr>
        <w:t>PR1级（低风险）</w:t>
      </w:r>
      <w:r w:rsidR="00857E2C">
        <w:rPr>
          <w:rFonts w:ascii="微软简仿宋" w:eastAsia="微软简仿宋" w:hAnsi="宋体" w:cs="宋体" w:hint="eastAsia"/>
          <w:kern w:val="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Calibri" w:hint="eastAsia"/>
          <w:color w:val="000000"/>
          <w:szCs w:val="21"/>
        </w:rPr>
        <w:t>发行方式</w:t>
      </w:r>
      <w:r>
        <w:rPr>
          <w:rFonts w:ascii="宋体" w:hAnsi="宋体" w:cs="宋体" w:hint="eastAsia"/>
          <w:color w:val="000000"/>
          <w:szCs w:val="21"/>
          <w:u w:val="single"/>
        </w:rPr>
        <w:t xml:space="preserve"> </w:t>
      </w:r>
      <w:r w:rsidR="00857E2C">
        <w:rPr>
          <w:rFonts w:ascii="宋体" w:hAnsi="宋体" w:cs="宋体" w:hint="eastAsia"/>
          <w:color w:val="000000"/>
          <w:szCs w:val="21"/>
          <w:u w:val="single"/>
        </w:rPr>
        <w:t>公募</w:t>
      </w:r>
      <w:r w:rsidR="00857E2C">
        <w:rPr>
          <w:rFonts w:ascii="微软简仿宋" w:eastAsia="微软简仿宋" w:hint="eastAsia"/>
          <w:color w:val="000000"/>
          <w:szCs w:val="21"/>
        </w:rPr>
        <w:t/>
      </w:r>
      <w:r w:rsidR="00857E2C">
        <w:rPr>
          <w:rFonts w:ascii="宋体" w:hAnsi="宋体" w:cs="宋体" w:hint="eastAsia"/>
          <w:color w:val="000000"/>
          <w:szCs w:val="21"/>
          <w:u w:val="single"/>
        </w:rPr>
        <w:t/>
      </w:r>
      <w:r>
        <w:rPr>
          <w:rFonts w:ascii="宋体" w:hAnsi="宋体" w:cs="宋体" w:hint="eastAsia"/>
          <w:color w:val="000000"/>
          <w:szCs w:val="21"/>
          <w:u w:val="single"/>
        </w:rPr>
        <w:t xml:space="preserve">  </w:t>
      </w:r>
      <w:r>
        <w:rPr>
          <w:rFonts w:ascii="宋体" w:hAnsi="宋体" w:cs="宋体" w:hint="eastAsia"/>
          <w:color w:val="000000"/>
          <w:szCs w:val="21"/>
        </w:rPr>
        <w:t>，</w:t>
      </w:r>
      <w:r>
        <w:rPr>
          <w:rFonts w:ascii="微软简仿宋" w:eastAsia="微软简仿宋" w:hAnsi="宋体" w:cs="宋体" w:hint="eastAsia"/>
          <w:kern w:val="0"/>
          <w:szCs w:val="21"/>
        </w:rPr>
        <w:t>适合</w:t>
      </w:r>
      <w:r>
        <w:rPr>
          <w:rFonts w:ascii="微软简仿宋" w:eastAsia="微软简仿宋" w:hAnsi="宋体" w:cs="宋体"/>
          <w:kern w:val="0"/>
          <w:szCs w:val="21"/>
        </w:rPr>
        <w:t>风险评估评定为</w:t>
      </w:r>
      <w:r>
        <w:rPr>
          <w:rFonts w:ascii="微软简仿宋" w:hAnsi="宋体" w:cs="宋体" w:hint="eastAsia"/>
          <w:color w:val="000000"/>
          <w:szCs w:val="21"/>
          <w:u w:val="single"/>
        </w:rPr>
        <w:t xml:space="preserve">　</w:t>
      </w:r>
      <w:r w:rsidR="00857E2C">
        <w:rPr>
          <w:rFonts w:ascii="微软简仿宋" w:eastAsia="微软简仿宋" w:hint="eastAsia"/>
          <w:color w:val="000000"/>
          <w:szCs w:val="21"/>
          <w:u w:val="single"/>
        </w:rPr>
        <w:t>CR1（谨慎型）, CR2（稳健型）, CR3（平衡型）, CR4（进取型）, CR5（激进型）</w:t>
      </w:r>
      <w:r w:rsidR="00857E2C">
        <w:rPr>
          <w:rFonts w:ascii="微软简仿宋" w:eastAsia="微软简仿宋" w:hint="eastAsia"/>
          <w:color w:val="000000"/>
          <w:szCs w:val="21"/>
        </w:rPr>
        <w:t/>
      </w:r>
      <w:r w:rsidR="00857E2C">
        <w:rPr>
          <w:rFonts w:ascii="微软简仿宋" w:eastAsia="微软简仿宋" w:hint="eastAsia"/>
          <w:color w:val="000000"/>
          <w:szCs w:val="21"/>
          <w:u w:val="single"/>
        </w:rPr>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个人投资者。</w:t>
      </w:r>
    </w:p>
    <w:p w14:paraId="40995D7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示例：假设投资者投资本金为10,000元人民币，</w:t>
      </w:r>
      <w:r>
        <w:rPr>
          <w:rFonts w:ascii="微软简仿宋" w:eastAsia="微软简仿宋" w:hAnsi="宋体" w:cs="宋体" w:hint="eastAsia"/>
          <w:b/>
          <w:kern w:val="0"/>
          <w:szCs w:val="21"/>
        </w:rPr>
        <w:t>最不利投资情形</w:t>
      </w:r>
      <w:r>
        <w:rPr>
          <w:rFonts w:ascii="微软简仿宋" w:eastAsia="微软简仿宋" w:hAnsi="宋体" w:cs="宋体" w:hint="eastAsia"/>
          <w:kern w:val="0"/>
          <w:szCs w:val="21"/>
        </w:rPr>
        <w:t>下投资者</w:t>
      </w:r>
      <w:r>
        <w:rPr>
          <w:rFonts w:ascii="微软简仿宋" w:eastAsia="微软简仿宋" w:hint="eastAsia"/>
          <w:szCs w:val="21"/>
        </w:rPr>
        <w:t>将</w:t>
      </w:r>
      <w:r>
        <w:rPr>
          <w:rFonts w:ascii="微软简仿宋" w:eastAsia="微软简仿宋"/>
          <w:szCs w:val="21"/>
        </w:rPr>
        <w:t>无法获得理财收益，甚至损失</w:t>
      </w:r>
      <w:r>
        <w:rPr>
          <w:rFonts w:ascii="微软简仿宋" w:eastAsia="微软简仿宋" w:hint="eastAsia"/>
          <w:szCs w:val="21"/>
        </w:rPr>
        <w:t>全部</w:t>
      </w:r>
      <w:r>
        <w:rPr>
          <w:rFonts w:ascii="微软简仿宋" w:eastAsia="微软简仿宋"/>
          <w:szCs w:val="21"/>
        </w:rPr>
        <w:t>理财本金</w:t>
      </w:r>
      <w:r>
        <w:rPr>
          <w:rFonts w:ascii="微软简仿宋" w:eastAsia="微软简仿宋" w:hint="eastAsia"/>
          <w:szCs w:val="21"/>
        </w:rPr>
        <w:t>。</w:t>
      </w:r>
    </w:p>
    <w:p w14:paraId="56A2AA77" w14:textId="77777777" w:rsidR="00000000" w:rsidRDefault="00000000">
      <w:pPr>
        <w:pStyle w:val="a"/>
        <w:spacing w:line="360" w:lineRule="exact"/>
        <w:ind w:left="180" w:firstLineChars="200" w:firstLine="420"/>
        <w:rPr>
          <w:rFonts w:ascii="微软简仿宋" w:eastAsia="微软简仿宋" w:hint="eastAsia"/>
          <w:szCs w:val="21"/>
        </w:rPr>
      </w:pPr>
      <w:r>
        <w:rPr>
          <w:rFonts w:ascii="微软简仿宋" w:eastAsia="微软简仿宋" w:hAnsi="宋体" w:cs="宋体" w:hint="eastAsia"/>
          <w:kern w:val="0"/>
          <w:szCs w:val="21"/>
        </w:rPr>
        <w:t>3.</w:t>
      </w:r>
      <w:r>
        <w:rPr>
          <w:rFonts w:ascii="微软简仿宋" w:eastAsia="微软简仿宋" w:hAnsi="宋体" w:cs="宋体" w:hint="eastAsia"/>
          <w:b/>
          <w:kern w:val="0"/>
          <w:szCs w:val="21"/>
        </w:rPr>
        <w:t>理财产品有投资风险，不保证理财本金和理财收益，您应当充分认识投资风险，谨慎投资。</w:t>
      </w:r>
      <w:r>
        <w:rPr>
          <w:rFonts w:ascii="微软简仿宋" w:eastAsia="微软简仿宋" w:hint="eastAsia"/>
          <w:szCs w:val="21"/>
        </w:rPr>
        <w:t>各风险等级</w:t>
      </w:r>
      <w:r>
        <w:rPr>
          <w:rFonts w:ascii="微软简仿宋" w:eastAsia="微软简仿宋" w:hAnsi="宋体" w:cs="宋体" w:hint="eastAsia"/>
          <w:kern w:val="0"/>
          <w:szCs w:val="21"/>
        </w:rPr>
        <w:t>理财</w:t>
      </w:r>
      <w:r>
        <w:rPr>
          <w:rFonts w:ascii="微软简仿宋" w:eastAsia="微软简仿宋" w:hint="eastAsia"/>
          <w:szCs w:val="21"/>
        </w:rPr>
        <w:t>产品的风险水平告知如下（产品风险等级为内部评级，仅供参考）：</w:t>
      </w:r>
    </w:p>
    <w:tbl>
      <w:tblPr>
        <w:tblW w:w="0" w:type="auto"/>
        <w:jc w:val="center"/>
        <w:tblInd w:w="0" w:type="dxa"/>
        <w:tblLayout w:type="fixed"/>
        <w:tblLook w:val="0000" w:firstRow="0" w:lastRow="0" w:firstColumn="0" w:lastColumn="0" w:noHBand="0" w:noVBand="0"/>
      </w:tblPr>
      <w:tblGrid>
        <w:gridCol w:w="1250"/>
        <w:gridCol w:w="1275"/>
        <w:gridCol w:w="5358"/>
      </w:tblGrid>
      <w:tr w:rsidR="00000000" w14:paraId="505416DE" w14:textId="77777777">
        <w:trPr>
          <w:trHeight w:val="375"/>
          <w:tblHeader/>
          <w:jc w:val="center"/>
        </w:trPr>
        <w:tc>
          <w:tcPr>
            <w:tcW w:w="1250" w:type="dxa"/>
            <w:tcBorders>
              <w:top w:val="single" w:sz="4" w:space="0" w:color="auto"/>
              <w:left w:val="single" w:sz="4" w:space="0" w:color="auto"/>
              <w:bottom w:val="single" w:sz="4" w:space="0" w:color="auto"/>
              <w:right w:val="single" w:sz="4" w:space="0" w:color="auto"/>
            </w:tcBorders>
            <w:vAlign w:val="center"/>
          </w:tcPr>
          <w:p w14:paraId="39727F1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风险等级</w:t>
            </w:r>
          </w:p>
        </w:tc>
        <w:tc>
          <w:tcPr>
            <w:tcW w:w="1275" w:type="dxa"/>
            <w:tcBorders>
              <w:top w:val="single" w:sz="4" w:space="0" w:color="auto"/>
              <w:left w:val="nil"/>
              <w:bottom w:val="single" w:sz="4" w:space="0" w:color="auto"/>
              <w:right w:val="single" w:sz="4" w:space="0" w:color="auto"/>
            </w:tcBorders>
            <w:vAlign w:val="center"/>
          </w:tcPr>
          <w:p w14:paraId="78821906"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风险水平</w:t>
            </w:r>
          </w:p>
        </w:tc>
        <w:tc>
          <w:tcPr>
            <w:tcW w:w="5358" w:type="dxa"/>
            <w:tcBorders>
              <w:top w:val="single" w:sz="4" w:space="0" w:color="auto"/>
              <w:left w:val="nil"/>
              <w:bottom w:val="single" w:sz="4" w:space="0" w:color="auto"/>
              <w:right w:val="single" w:sz="4" w:space="0" w:color="auto"/>
            </w:tcBorders>
            <w:vAlign w:val="center"/>
          </w:tcPr>
          <w:p w14:paraId="3206F79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风险说明</w:t>
            </w:r>
          </w:p>
        </w:tc>
      </w:tr>
      <w:tr w:rsidR="00000000" w14:paraId="20AB5281" w14:textId="77777777">
        <w:trPr>
          <w:trHeight w:val="409"/>
          <w:jc w:val="center"/>
        </w:trPr>
        <w:tc>
          <w:tcPr>
            <w:tcW w:w="1250" w:type="dxa"/>
            <w:tcBorders>
              <w:top w:val="nil"/>
              <w:left w:val="single" w:sz="4" w:space="0" w:color="auto"/>
              <w:bottom w:val="single" w:sz="4" w:space="0" w:color="auto"/>
              <w:right w:val="single" w:sz="4" w:space="0" w:color="auto"/>
            </w:tcBorders>
            <w:vAlign w:val="center"/>
          </w:tcPr>
          <w:p w14:paraId="44FE2E65"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PR1级</w:t>
            </w:r>
          </w:p>
        </w:tc>
        <w:tc>
          <w:tcPr>
            <w:tcW w:w="1275" w:type="dxa"/>
            <w:tcBorders>
              <w:top w:val="nil"/>
              <w:left w:val="nil"/>
              <w:bottom w:val="single" w:sz="4" w:space="0" w:color="auto"/>
              <w:right w:val="single" w:sz="4" w:space="0" w:color="auto"/>
            </w:tcBorders>
            <w:vAlign w:val="center"/>
          </w:tcPr>
          <w:p w14:paraId="6646BA2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很低</w:t>
            </w:r>
          </w:p>
        </w:tc>
        <w:tc>
          <w:tcPr>
            <w:tcW w:w="5358" w:type="dxa"/>
            <w:tcBorders>
              <w:top w:val="nil"/>
              <w:left w:val="nil"/>
              <w:bottom w:val="single" w:sz="4" w:space="0" w:color="auto"/>
              <w:right w:val="single" w:sz="4" w:space="0" w:color="auto"/>
            </w:tcBorders>
            <w:vAlign w:val="center"/>
          </w:tcPr>
          <w:p w14:paraId="42610FE3"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产品不保障本金。产品结构简单，业绩及净值的波动率低，投资标的流动性很好，本金损失概率很低。</w:t>
            </w:r>
          </w:p>
        </w:tc>
      </w:tr>
      <w:tr w:rsidR="00000000" w14:paraId="44B58748" w14:textId="77777777">
        <w:trPr>
          <w:trHeight w:val="402"/>
          <w:jc w:val="center"/>
        </w:trPr>
        <w:tc>
          <w:tcPr>
            <w:tcW w:w="1250" w:type="dxa"/>
            <w:tcBorders>
              <w:top w:val="nil"/>
              <w:left w:val="single" w:sz="4" w:space="0" w:color="auto"/>
              <w:bottom w:val="single" w:sz="4" w:space="0" w:color="auto"/>
              <w:right w:val="single" w:sz="4" w:space="0" w:color="auto"/>
            </w:tcBorders>
            <w:vAlign w:val="center"/>
          </w:tcPr>
          <w:p w14:paraId="6788ECF0"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PR2级</w:t>
            </w:r>
          </w:p>
        </w:tc>
        <w:tc>
          <w:tcPr>
            <w:tcW w:w="1275" w:type="dxa"/>
            <w:tcBorders>
              <w:top w:val="nil"/>
              <w:left w:val="nil"/>
              <w:bottom w:val="single" w:sz="4" w:space="0" w:color="auto"/>
              <w:right w:val="single" w:sz="4" w:space="0" w:color="auto"/>
            </w:tcBorders>
            <w:vAlign w:val="center"/>
          </w:tcPr>
          <w:p w14:paraId="0AF6975F"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较低</w:t>
            </w:r>
          </w:p>
        </w:tc>
        <w:tc>
          <w:tcPr>
            <w:tcW w:w="5358" w:type="dxa"/>
            <w:tcBorders>
              <w:top w:val="nil"/>
              <w:left w:val="nil"/>
              <w:bottom w:val="single" w:sz="4" w:space="0" w:color="auto"/>
              <w:right w:val="single" w:sz="4" w:space="0" w:color="auto"/>
            </w:tcBorders>
            <w:vAlign w:val="center"/>
          </w:tcPr>
          <w:p w14:paraId="3119C55E"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产品不保障本金。产品结构较简单，业绩及净值的波动率较低，投资标的流动性好，本金损失概率较低。</w:t>
            </w:r>
          </w:p>
        </w:tc>
      </w:tr>
      <w:tr w:rsidR="00000000" w14:paraId="424F2A3F" w14:textId="77777777">
        <w:trPr>
          <w:trHeight w:val="436"/>
          <w:jc w:val="center"/>
        </w:trPr>
        <w:tc>
          <w:tcPr>
            <w:tcW w:w="1250" w:type="dxa"/>
            <w:tcBorders>
              <w:top w:val="nil"/>
              <w:left w:val="single" w:sz="4" w:space="0" w:color="auto"/>
              <w:bottom w:val="single" w:sz="4" w:space="0" w:color="auto"/>
              <w:right w:val="single" w:sz="4" w:space="0" w:color="auto"/>
            </w:tcBorders>
            <w:vAlign w:val="center"/>
          </w:tcPr>
          <w:p w14:paraId="0313B0B9"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lastRenderedPageBreak/>
              <w:t>PR3级</w:t>
            </w:r>
          </w:p>
        </w:tc>
        <w:tc>
          <w:tcPr>
            <w:tcW w:w="1275" w:type="dxa"/>
            <w:tcBorders>
              <w:top w:val="nil"/>
              <w:left w:val="nil"/>
              <w:bottom w:val="single" w:sz="4" w:space="0" w:color="auto"/>
              <w:right w:val="single" w:sz="4" w:space="0" w:color="auto"/>
            </w:tcBorders>
            <w:vAlign w:val="center"/>
          </w:tcPr>
          <w:p w14:paraId="256F5B56" w14:textId="77777777" w:rsidR="00000000" w:rsidRDefault="00000000">
            <w:pPr>
              <w:keepNext/>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适中</w:t>
            </w:r>
          </w:p>
        </w:tc>
        <w:tc>
          <w:tcPr>
            <w:tcW w:w="5358" w:type="dxa"/>
            <w:tcBorders>
              <w:top w:val="nil"/>
              <w:left w:val="nil"/>
              <w:bottom w:val="single" w:sz="4" w:space="0" w:color="auto"/>
              <w:right w:val="single" w:sz="4" w:space="0" w:color="auto"/>
            </w:tcBorders>
            <w:vAlign w:val="center"/>
          </w:tcPr>
          <w:p w14:paraId="3C0FB994" w14:textId="77777777" w:rsidR="00000000" w:rsidRDefault="00000000">
            <w:pPr>
              <w:keepNext/>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产品不保障本金。产品结构一般，业绩及净值的波动率较高，投资标的流动性较好，本金存在一定的损失概率。</w:t>
            </w:r>
          </w:p>
        </w:tc>
      </w:tr>
      <w:tr w:rsidR="00000000" w14:paraId="355908D6" w14:textId="77777777">
        <w:trPr>
          <w:trHeight w:val="643"/>
          <w:jc w:val="center"/>
        </w:trPr>
        <w:tc>
          <w:tcPr>
            <w:tcW w:w="1250" w:type="dxa"/>
            <w:tcBorders>
              <w:top w:val="nil"/>
              <w:left w:val="single" w:sz="4" w:space="0" w:color="auto"/>
              <w:bottom w:val="single" w:sz="4" w:space="0" w:color="auto"/>
              <w:right w:val="single" w:sz="4" w:space="0" w:color="auto"/>
            </w:tcBorders>
            <w:vAlign w:val="center"/>
          </w:tcPr>
          <w:p w14:paraId="721497A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PR4级</w:t>
            </w:r>
          </w:p>
        </w:tc>
        <w:tc>
          <w:tcPr>
            <w:tcW w:w="1275" w:type="dxa"/>
            <w:tcBorders>
              <w:top w:val="nil"/>
              <w:left w:val="nil"/>
              <w:bottom w:val="single" w:sz="4" w:space="0" w:color="auto"/>
              <w:right w:val="single" w:sz="4" w:space="0" w:color="auto"/>
            </w:tcBorders>
            <w:vAlign w:val="center"/>
          </w:tcPr>
          <w:p w14:paraId="1B0B3A5D"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较高</w:t>
            </w:r>
          </w:p>
        </w:tc>
        <w:tc>
          <w:tcPr>
            <w:tcW w:w="5358" w:type="dxa"/>
            <w:tcBorders>
              <w:top w:val="nil"/>
              <w:left w:val="nil"/>
              <w:bottom w:val="single" w:sz="4" w:space="0" w:color="auto"/>
              <w:right w:val="single" w:sz="4" w:space="0" w:color="auto"/>
            </w:tcBorders>
            <w:vAlign w:val="center"/>
          </w:tcPr>
          <w:p w14:paraId="18CAC0F4" w14:textId="77777777" w:rsidR="00000000" w:rsidRDefault="00000000">
            <w:pPr>
              <w:widowControl/>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产品不保障本金。产品结构较复杂，业绩及净值的波动率高，投资标的流动性较差，本金损失的概率较高。</w:t>
            </w:r>
          </w:p>
        </w:tc>
      </w:tr>
      <w:tr w:rsidR="00000000" w14:paraId="02FDBD71" w14:textId="77777777">
        <w:trPr>
          <w:trHeight w:val="646"/>
          <w:jc w:val="center"/>
        </w:trPr>
        <w:tc>
          <w:tcPr>
            <w:tcW w:w="1250" w:type="dxa"/>
            <w:tcBorders>
              <w:top w:val="nil"/>
              <w:left w:val="single" w:sz="4" w:space="0" w:color="auto"/>
              <w:bottom w:val="single" w:sz="4" w:space="0" w:color="auto"/>
              <w:right w:val="single" w:sz="4" w:space="0" w:color="auto"/>
            </w:tcBorders>
            <w:vAlign w:val="center"/>
          </w:tcPr>
          <w:p w14:paraId="33B4DC6C"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PR5级</w:t>
            </w:r>
          </w:p>
        </w:tc>
        <w:tc>
          <w:tcPr>
            <w:tcW w:w="1275" w:type="dxa"/>
            <w:tcBorders>
              <w:top w:val="nil"/>
              <w:left w:val="nil"/>
              <w:bottom w:val="single" w:sz="4" w:space="0" w:color="auto"/>
              <w:right w:val="single" w:sz="4" w:space="0" w:color="auto"/>
            </w:tcBorders>
            <w:vAlign w:val="center"/>
          </w:tcPr>
          <w:p w14:paraId="3C78FD8A" w14:textId="77777777" w:rsidR="00000000" w:rsidRDefault="00000000">
            <w:pPr>
              <w:widowControl/>
              <w:jc w:val="center"/>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高</w:t>
            </w:r>
          </w:p>
        </w:tc>
        <w:tc>
          <w:tcPr>
            <w:tcW w:w="5358" w:type="dxa"/>
            <w:tcBorders>
              <w:top w:val="nil"/>
              <w:left w:val="nil"/>
              <w:bottom w:val="single" w:sz="4" w:space="0" w:color="auto"/>
              <w:right w:val="single" w:sz="4" w:space="0" w:color="auto"/>
            </w:tcBorders>
            <w:vAlign w:val="center"/>
          </w:tcPr>
          <w:p w14:paraId="08A37CF7" w14:textId="77777777" w:rsidR="00000000" w:rsidRDefault="00000000">
            <w:pPr>
              <w:ind w:firstLineChars="200" w:firstLine="420"/>
              <w:jc w:val="left"/>
              <w:rPr>
                <w:rFonts w:ascii="微软简仿宋" w:eastAsia="微软简仿宋" w:hAnsi="宋体" w:cs="宋体"/>
                <w:color w:val="000000"/>
                <w:kern w:val="0"/>
                <w:szCs w:val="21"/>
              </w:rPr>
            </w:pPr>
            <w:r>
              <w:rPr>
                <w:rFonts w:ascii="微软简仿宋" w:eastAsia="微软简仿宋" w:hAnsi="宋体" w:cs="宋体" w:hint="eastAsia"/>
                <w:color w:val="000000"/>
                <w:kern w:val="0"/>
                <w:szCs w:val="21"/>
              </w:rPr>
              <w:t>产品不保障本金。产品结构复杂，业绩及净值的波动率很高，投资标的流动性差，本金损失概率高。</w:t>
            </w:r>
          </w:p>
        </w:tc>
      </w:tr>
    </w:tbl>
    <w:p w14:paraId="5B5943E2"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p>
    <w:p w14:paraId="0A8E18E9" w14:textId="77777777" w:rsidR="00000000" w:rsidRDefault="00000000">
      <w:pPr>
        <w:pStyle w:val="a"/>
        <w:spacing w:line="360" w:lineRule="exact"/>
        <w:ind w:left="180" w:firstLineChars="200" w:firstLine="420"/>
        <w:rPr>
          <w:rFonts w:ascii="微软简仿宋" w:eastAsia="微软简仿宋" w:hAnsi="宋体" w:cs="宋体" w:hint="eastAsia"/>
          <w:kern w:val="0"/>
          <w:szCs w:val="21"/>
        </w:rPr>
      </w:pPr>
      <w:r>
        <w:rPr>
          <w:rFonts w:ascii="微软简仿宋" w:eastAsia="微软简仿宋" w:hAnsi="宋体" w:cs="宋体" w:hint="eastAsia"/>
          <w:kern w:val="0"/>
          <w:szCs w:val="21"/>
        </w:rPr>
        <w:t>您的风险承受能力评估结果为</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cs="宋体" w:hint="eastAsia"/>
          <w:kern w:val="0"/>
          <w:szCs w:val="21"/>
        </w:rPr>
        <w:t>，</w:t>
      </w:r>
      <w:r>
        <w:rPr>
          <w:rFonts w:ascii="微软简仿宋" w:eastAsia="微软简仿宋" w:hAnsi="宋体" w:cs="宋体"/>
          <w:b/>
          <w:bCs/>
          <w:kern w:val="0"/>
          <w:szCs w:val="21"/>
        </w:rPr>
        <w:t>如影响您风险承受能力的因素发生变化，请及时完成风险承受能力评估</w:t>
      </w:r>
      <w:r>
        <w:rPr>
          <w:rFonts w:ascii="微软简仿宋" w:eastAsia="微软简仿宋" w:hAnsi="宋体" w:cs="宋体"/>
          <w:kern w:val="0"/>
          <w:szCs w:val="21"/>
        </w:rPr>
        <w:t>。</w:t>
      </w:r>
    </w:p>
    <w:p w14:paraId="085E6B07" w14:textId="77777777" w:rsidR="00000000" w:rsidRDefault="00000000">
      <w:pPr>
        <w:pStyle w:val="a"/>
        <w:spacing w:line="360" w:lineRule="exact"/>
        <w:ind w:left="180" w:firstLineChars="200" w:firstLine="400"/>
        <w:rPr>
          <w:rFonts w:ascii="微软简仿宋" w:eastAsia="微软简仿宋" w:hAnsi="宋体" w:cs="宋体" w:hint="eastAsia"/>
          <w:kern w:val="0"/>
          <w:sz w:val="20"/>
          <w:szCs w:val="20"/>
        </w:rPr>
      </w:pPr>
      <w:r>
        <w:rPr>
          <w:rFonts w:ascii="微软简仿宋" w:eastAsia="微软简仿宋" w:hAnsi="宋体" w:cs="宋体" w:hint="eastAsia"/>
          <w:kern w:val="0"/>
          <w:sz w:val="20"/>
          <w:szCs w:val="20"/>
        </w:rPr>
        <w:t>4.</w:t>
      </w:r>
      <w:r>
        <w:rPr>
          <w:rFonts w:ascii="微软简仿宋" w:eastAsia="微软简仿宋" w:hAnsi="宋体" w:cs="宋体" w:hint="eastAsia"/>
          <w:b/>
          <w:bCs/>
          <w:kern w:val="0"/>
          <w:sz w:val="20"/>
          <w:szCs w:val="20"/>
        </w:rPr>
        <w:t>独立投资决定：</w:t>
      </w:r>
      <w:bookmarkStart w:id="1" w:name="_Hlk76302160"/>
      <w:r>
        <w:rPr>
          <w:rFonts w:ascii="微软简仿宋" w:eastAsia="微软简仿宋" w:hAnsi="宋体" w:cs="宋体" w:hint="eastAsia"/>
          <w:kern w:val="0"/>
          <w:sz w:val="20"/>
          <w:szCs w:val="20"/>
        </w:rPr>
        <w:t>华夏理财及</w:t>
      </w:r>
      <w:r>
        <w:rPr>
          <w:rFonts w:ascii="微软简仿宋" w:eastAsia="微软简仿宋" w:hint="eastAsia"/>
          <w:szCs w:val="21"/>
        </w:rPr>
        <w:t>代销机构</w:t>
      </w:r>
      <w:r>
        <w:rPr>
          <w:rFonts w:ascii="微软简仿宋" w:eastAsia="微软简仿宋" w:hAnsi="宋体" w:cs="宋体" w:hint="eastAsia"/>
          <w:kern w:val="0"/>
          <w:sz w:val="20"/>
          <w:szCs w:val="20"/>
        </w:rPr>
        <w:t>仅向您提供产品信息和投资建议</w:t>
      </w:r>
      <w:bookmarkEnd w:id="1"/>
      <w:r>
        <w:rPr>
          <w:rFonts w:ascii="微软简仿宋" w:eastAsia="微软简仿宋" w:hAnsi="宋体" w:cs="宋体" w:hint="eastAsia"/>
          <w:kern w:val="0"/>
          <w:sz w:val="20"/>
          <w:szCs w:val="20"/>
        </w:rPr>
        <w:t>，请您确定本次购买是自行判断并独立做出投资决定</w:t>
      </w:r>
      <w:r>
        <w:rPr>
          <w:rFonts w:ascii="微软简仿宋" w:eastAsia="微软简仿宋" w:hAnsi="宋体" w:cs="宋体" w:hint="eastAsia"/>
          <w:kern w:val="0"/>
          <w:szCs w:val="21"/>
        </w:rPr>
        <w:t>，</w:t>
      </w:r>
      <w:r>
        <w:rPr>
          <w:rFonts w:ascii="微软简仿宋" w:eastAsia="微软简仿宋" w:hint="eastAsia"/>
          <w:szCs w:val="21"/>
        </w:rPr>
        <w:t>将资金委托给产品管理人运作是</w:t>
      </w:r>
      <w:r>
        <w:rPr>
          <w:rFonts w:ascii="微软简仿宋" w:eastAsia="微软简仿宋" w:hAnsi="宋体" w:cs="宋体" w:hint="eastAsia"/>
          <w:kern w:val="0"/>
          <w:szCs w:val="21"/>
        </w:rPr>
        <w:t>您</w:t>
      </w:r>
      <w:r>
        <w:rPr>
          <w:rFonts w:ascii="微软简仿宋" w:eastAsia="微软简仿宋" w:hint="eastAsia"/>
          <w:szCs w:val="21"/>
        </w:rPr>
        <w:t>真实的意思表示</w:t>
      </w:r>
      <w:r>
        <w:rPr>
          <w:rFonts w:ascii="微软简仿宋" w:eastAsia="微软简仿宋" w:hAnsi="宋体" w:cs="宋体" w:hint="eastAsia"/>
          <w:kern w:val="0"/>
          <w:sz w:val="20"/>
          <w:szCs w:val="20"/>
        </w:rPr>
        <w:t>。</w:t>
      </w:r>
    </w:p>
    <w:p w14:paraId="293CB0DA"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185975B6"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B058AC7" w14:textId="77777777" w:rsidR="00000000" w:rsidRDefault="00000000">
      <w:pPr>
        <w:pStyle w:val="a"/>
        <w:spacing w:line="360" w:lineRule="exact"/>
        <w:ind w:right="420" w:firstLineChars="588" w:firstLine="1235"/>
        <w:jc w:val="right"/>
        <w:rPr>
          <w:rFonts w:ascii="微软简仿宋" w:eastAsia="微软简仿宋" w:hint="eastAsia"/>
          <w:b/>
          <w:szCs w:val="21"/>
        </w:rPr>
      </w:pPr>
      <w:r>
        <w:rPr>
          <w:rFonts w:ascii="微软简仿宋" w:eastAsia="微软简仿宋" w:hint="eastAsia"/>
          <w:b/>
          <w:szCs w:val="21"/>
        </w:rPr>
        <w:t>风险揭示方：华夏理财有限责任公司</w:t>
      </w:r>
    </w:p>
    <w:p w14:paraId="5EA9CEF4"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33755E9A" w14:textId="77777777" w:rsidR="00000000" w:rsidRDefault="00000000">
      <w:pPr>
        <w:pStyle w:val="a"/>
        <w:spacing w:line="360" w:lineRule="exact"/>
        <w:ind w:right="420" w:firstLineChars="588" w:firstLine="1235"/>
        <w:jc w:val="right"/>
        <w:rPr>
          <w:rFonts w:ascii="微软简仿宋" w:eastAsia="微软简仿宋"/>
          <w:b/>
          <w:szCs w:val="21"/>
        </w:rPr>
      </w:pPr>
    </w:p>
    <w:p w14:paraId="38BB0C5E" w14:textId="77777777" w:rsidR="00000000" w:rsidRDefault="00000000">
      <w:pPr>
        <w:pStyle w:val="a"/>
        <w:spacing w:line="360" w:lineRule="exact"/>
        <w:ind w:right="420" w:firstLineChars="588" w:firstLine="1235"/>
        <w:jc w:val="right"/>
        <w:rPr>
          <w:rFonts w:ascii="微软简仿宋" w:eastAsia="微软简仿宋" w:hint="eastAsia"/>
          <w:b/>
          <w:szCs w:val="21"/>
        </w:rPr>
      </w:pPr>
    </w:p>
    <w:p w14:paraId="7AD6447E" w14:textId="77777777" w:rsidR="00000000" w:rsidRDefault="00000000">
      <w:pPr>
        <w:pStyle w:val="a"/>
        <w:spacing w:line="360" w:lineRule="exact"/>
        <w:jc w:val="center"/>
        <w:rPr>
          <w:rFonts w:ascii="微软简标宋" w:eastAsia="微软简标宋" w:hint="eastAsia"/>
          <w:sz w:val="28"/>
          <w:szCs w:val="28"/>
        </w:rPr>
      </w:pPr>
      <w:r>
        <w:rPr>
          <w:rFonts w:ascii="微软简标宋" w:eastAsia="微软简标宋" w:hint="eastAsia"/>
          <w:sz w:val="28"/>
          <w:szCs w:val="28"/>
        </w:rPr>
        <w:t>客户风险确认栏</w:t>
      </w:r>
    </w:p>
    <w:p w14:paraId="090E8785" w14:textId="77777777" w:rsidR="00000000" w:rsidRDefault="00000000">
      <w:pPr>
        <w:pStyle w:val="a"/>
        <w:spacing w:line="360" w:lineRule="exact"/>
        <w:ind w:firstLineChars="200" w:firstLine="420"/>
        <w:rPr>
          <w:rFonts w:ascii="宋体" w:hAnsi="宋体" w:cs="宋体" w:hint="eastAsia"/>
          <w:szCs w:val="21"/>
        </w:rPr>
      </w:pPr>
      <w:r>
        <w:rPr>
          <w:rFonts w:ascii="微软简仿宋" w:eastAsia="微软简仿宋" w:hint="eastAsia"/>
          <w:szCs w:val="21"/>
        </w:rPr>
        <w:t>本人收到并详细阅读了理财产品说明书、投资协议书、销售（代理销售）协议书、风险揭示书和投资者权益须知等销售文件，产品销售人员已根据文件内容，清楚解释有关产品的特点、投资风险和最不利的投资情形，本人已清楚了解产品的特点和理财风险，独立做出投资决策</w:t>
      </w:r>
      <w:r>
        <w:rPr>
          <w:rFonts w:ascii="宋体" w:hAnsi="宋体" w:cs="宋体" w:hint="eastAsia"/>
          <w:szCs w:val="21"/>
        </w:rPr>
        <w:t>。</w:t>
      </w:r>
    </w:p>
    <w:p w14:paraId="0D71A29B"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szCs w:val="21"/>
        </w:rPr>
        <w:t>本人承诺投资理财产品使用的资金</w:t>
      </w:r>
      <w:r>
        <w:rPr>
          <w:rFonts w:ascii="微软简仿宋" w:eastAsia="微软简仿宋" w:hint="eastAsia"/>
          <w:szCs w:val="21"/>
        </w:rPr>
        <w:t>为自有资金，</w:t>
      </w:r>
      <w:r>
        <w:rPr>
          <w:rFonts w:ascii="微软简仿宋" w:eastAsia="微软简仿宋"/>
          <w:szCs w:val="21"/>
        </w:rPr>
        <w:t>来源合法合规，并且系为合法之目的投资本理财产品，而非为洗钱等违法犯罪之目的，本人将配合</w:t>
      </w:r>
      <w:r>
        <w:rPr>
          <w:rFonts w:ascii="微软简仿宋" w:eastAsia="微软简仿宋" w:hint="eastAsia"/>
          <w:szCs w:val="21"/>
        </w:rPr>
        <w:t>华夏</w:t>
      </w:r>
      <w:r>
        <w:rPr>
          <w:rFonts w:ascii="微软简仿宋" w:eastAsia="微软简仿宋"/>
          <w:szCs w:val="21"/>
        </w:rPr>
        <w:t>理财</w:t>
      </w:r>
      <w:r>
        <w:rPr>
          <w:rFonts w:ascii="微软简仿宋" w:eastAsia="微软简仿宋" w:hint="eastAsia"/>
          <w:szCs w:val="21"/>
        </w:rPr>
        <w:t>、</w:t>
      </w:r>
      <w:r>
        <w:rPr>
          <w:rFonts w:ascii="微软简仿宋" w:eastAsia="微软简仿宋"/>
          <w:szCs w:val="21"/>
        </w:rPr>
        <w:t>代销机构开展客户身份识别</w:t>
      </w:r>
      <w:r>
        <w:rPr>
          <w:rFonts w:ascii="微软简仿宋" w:eastAsia="微软简仿宋" w:hint="eastAsia"/>
          <w:szCs w:val="21"/>
        </w:rPr>
        <w:t>、</w:t>
      </w:r>
      <w:r>
        <w:rPr>
          <w:rFonts w:ascii="微软简仿宋" w:eastAsia="微软简仿宋"/>
          <w:szCs w:val="21"/>
        </w:rPr>
        <w:t>尽职调查等反洗钱活动及其他法律法规规定事项</w:t>
      </w:r>
      <w:r>
        <w:rPr>
          <w:rFonts w:ascii="微软简仿宋" w:eastAsia="微软简仿宋" w:hint="eastAsia"/>
          <w:szCs w:val="21"/>
        </w:rPr>
        <w:t>，</w:t>
      </w:r>
      <w:r>
        <w:rPr>
          <w:rFonts w:ascii="微软简仿宋" w:eastAsia="微软简仿宋"/>
          <w:szCs w:val="21"/>
        </w:rPr>
        <w:t>及时、真实、准确、完整提供身份及资金来源等信息</w:t>
      </w:r>
      <w:r>
        <w:rPr>
          <w:rFonts w:ascii="微软简仿宋" w:eastAsia="微软简仿宋" w:hint="eastAsia"/>
          <w:szCs w:val="21"/>
        </w:rPr>
        <w:t>，</w:t>
      </w:r>
      <w:r>
        <w:rPr>
          <w:rFonts w:ascii="微软简仿宋" w:eastAsia="微软简仿宋"/>
          <w:szCs w:val="21"/>
        </w:rPr>
        <w:t>并同意华夏理财</w:t>
      </w:r>
      <w:r>
        <w:rPr>
          <w:rFonts w:ascii="微软简仿宋" w:eastAsia="微软简仿宋" w:hint="eastAsia"/>
          <w:szCs w:val="21"/>
        </w:rPr>
        <w:t>、代销机构根据法律法规、监管规定和销售文件的约定使用本人提供的相关信息</w:t>
      </w:r>
      <w:r>
        <w:rPr>
          <w:rFonts w:ascii="微软简仿宋" w:eastAsia="微软简仿宋"/>
          <w:szCs w:val="21"/>
        </w:rPr>
        <w:t>。</w:t>
      </w:r>
    </w:p>
    <w:p w14:paraId="5B77CB01" w14:textId="77777777" w:rsidR="00000000" w:rsidRDefault="00000000">
      <w:pPr>
        <w:pStyle w:val="a"/>
        <w:spacing w:line="360" w:lineRule="exact"/>
        <w:ind w:firstLineChars="200" w:firstLine="420"/>
        <w:rPr>
          <w:rFonts w:ascii="微软简仿宋" w:eastAsia="微软简仿宋" w:hint="eastAsia"/>
          <w:szCs w:val="21"/>
        </w:rPr>
      </w:pPr>
      <w:r>
        <w:rPr>
          <w:rFonts w:ascii="仿宋" w:eastAsia="仿宋" w:hAnsi="仿宋" w:hint="eastAsia"/>
          <w:bCs/>
          <w:szCs w:val="21"/>
        </w:rPr>
        <w:t>□</w:t>
      </w:r>
      <w:r>
        <w:rPr>
          <w:rFonts w:ascii="微软简仿宋" w:eastAsia="微软简仿宋" w:hint="eastAsia"/>
          <w:szCs w:val="21"/>
        </w:rPr>
        <w:t>本人知悉并确认本理财产品的代销机构可能包含华夏银行股份有限公司，其为华夏理财的控股股东，二者存在关联关系。如因关联关系导致代销机构对本理财产品未能进行独立、审慎判断或放松准入管理，可能存在代销机构未能独立、尽责的风险。</w:t>
      </w:r>
    </w:p>
    <w:p w14:paraId="1DB3D622" w14:textId="77777777" w:rsidR="00000000" w:rsidRDefault="00000000">
      <w:pPr>
        <w:pStyle w:val="a"/>
        <w:spacing w:line="360" w:lineRule="exact"/>
        <w:ind w:firstLineChars="196" w:firstLine="412"/>
        <w:rPr>
          <w:rFonts w:ascii="Cambria" w:eastAsia="微软简仿宋" w:hAnsi="Cambria" w:hint="eastAsia"/>
          <w:b/>
          <w:szCs w:val="21"/>
        </w:rPr>
      </w:pPr>
      <w:r>
        <w:rPr>
          <w:rFonts w:ascii="微软简仿宋" w:eastAsia="微软简仿宋" w:hint="eastAsia"/>
          <w:b/>
          <w:szCs w:val="21"/>
        </w:rPr>
        <w:t>经销售机构的</w:t>
      </w:r>
      <w:r>
        <w:rPr>
          <w:rFonts w:ascii="微软简仿宋" w:eastAsia="微软简仿宋"/>
          <w:b/>
          <w:szCs w:val="21"/>
        </w:rPr>
        <w:t>风险承受能力评估，本人</w:t>
      </w:r>
      <w:r>
        <w:rPr>
          <w:rFonts w:ascii="微软简仿宋" w:eastAsia="微软简仿宋" w:hint="eastAsia"/>
          <w:b/>
          <w:szCs w:val="21"/>
        </w:rPr>
        <w:t>确认</w:t>
      </w:r>
      <w:r>
        <w:rPr>
          <w:rFonts w:ascii="微软简仿宋" w:eastAsia="微软简仿宋"/>
          <w:b/>
          <w:szCs w:val="21"/>
        </w:rPr>
        <w:t>风险承受能力</w:t>
      </w:r>
      <w:r>
        <w:rPr>
          <w:rFonts w:ascii="微软简仿宋" w:eastAsia="微软简仿宋" w:hint="eastAsia"/>
          <w:b/>
          <w:szCs w:val="21"/>
        </w:rPr>
        <w:t>评估结果</w:t>
      </w:r>
      <w:r>
        <w:rPr>
          <w:rFonts w:ascii="微软简仿宋" w:eastAsia="微软简仿宋"/>
          <w:b/>
          <w:szCs w:val="21"/>
        </w:rPr>
        <w:t>为</w:t>
      </w:r>
      <w:r>
        <w:rPr>
          <w:rFonts w:ascii="Cambria" w:eastAsia="微软简仿宋" w:hAnsi="Cambria" w:hint="eastAsia"/>
          <w:b/>
          <w:szCs w:val="21"/>
        </w:rPr>
        <w:t>_______</w:t>
      </w:r>
      <w:r>
        <w:rPr>
          <w:rFonts w:ascii="Cambria" w:eastAsia="微软简仿宋" w:hAnsi="Cambria" w:hint="eastAsia"/>
          <w:b/>
          <w:szCs w:val="21"/>
        </w:rPr>
        <w:t>。</w:t>
      </w:r>
    </w:p>
    <w:p w14:paraId="172A97FE" w14:textId="77777777" w:rsidR="00000000" w:rsidRDefault="00000000">
      <w:pPr>
        <w:pStyle w:val="a"/>
        <w:spacing w:line="360" w:lineRule="exact"/>
        <w:ind w:firstLineChars="200" w:firstLine="420"/>
        <w:rPr>
          <w:rFonts w:ascii="微软简仿宋" w:eastAsia="微软简仿宋" w:hint="eastAsia"/>
          <w:szCs w:val="21"/>
        </w:rPr>
      </w:pPr>
      <w:r>
        <w:rPr>
          <w:rFonts w:ascii="微软简仿宋" w:eastAsia="微软简仿宋" w:hint="eastAsia"/>
          <w:szCs w:val="21"/>
        </w:rPr>
        <w:t>本人同时确认如下：（客户需全文抄录风险确认语句并签字确认）</w:t>
      </w:r>
    </w:p>
    <w:p w14:paraId="5815A33E" w14:textId="77777777" w:rsidR="00000000" w:rsidRDefault="00000000">
      <w:pPr>
        <w:pStyle w:val="a"/>
        <w:spacing w:line="360" w:lineRule="exact"/>
        <w:ind w:firstLineChars="196" w:firstLine="412"/>
        <w:rPr>
          <w:rFonts w:ascii="微软简仿宋" w:eastAsia="微软简仿宋" w:hint="eastAsia"/>
          <w:szCs w:val="21"/>
        </w:rPr>
      </w:pPr>
      <w:r>
        <w:rPr>
          <w:rFonts w:ascii="微软简仿宋" w:eastAsia="微软简仿宋" w:hint="eastAsia"/>
          <w:b/>
          <w:szCs w:val="21"/>
        </w:rPr>
        <w:t>本人已经阅读风险揭示，愿意承担投资风险</w:t>
      </w:r>
      <w:r>
        <w:rPr>
          <w:rFonts w:ascii="微软简仿宋" w:eastAsia="微软简仿宋" w:hint="eastAsia"/>
          <w:szCs w:val="21"/>
        </w:rPr>
        <w:t>。</w:t>
      </w:r>
    </w:p>
    <w:p w14:paraId="512475A9" w14:textId="77777777" w:rsidR="00000000" w:rsidRDefault="00000000">
      <w:pPr>
        <w:pStyle w:val="a"/>
        <w:spacing w:line="360" w:lineRule="exact"/>
        <w:ind w:firstLineChars="104" w:firstLine="333"/>
        <w:rPr>
          <w:rFonts w:ascii="宋体" w:hAnsi="宋体" w:cs="宋体"/>
          <w:sz w:val="32"/>
          <w:szCs w:val="32"/>
        </w:rPr>
      </w:pP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w:t>
      </w:r>
      <w:r>
        <w:rPr>
          <w:rFonts w:ascii="宋体" w:hAnsi="宋体" w:cs="宋体" w:hint="eastAsia"/>
          <w:color w:val="000000"/>
          <w:kern w:val="0"/>
          <w:sz w:val="32"/>
          <w:szCs w:val="32"/>
          <w:u w:val="single"/>
        </w:rPr>
        <w:t xml:space="preserve"> </w:t>
      </w:r>
      <w:r>
        <w:rPr>
          <w:rFonts w:ascii="微软简仿宋" w:eastAsia="微软简仿宋" w:hint="eastAsia"/>
          <w:color w:val="000000"/>
          <w:kern w:val="0"/>
          <w:sz w:val="32"/>
          <w:szCs w:val="32"/>
          <w:u w:val="single"/>
        </w:rPr>
        <w:t xml:space="preserve">□。                                                       </w:t>
      </w:r>
    </w:p>
    <w:p w14:paraId="7EC2C30F" w14:textId="77777777" w:rsidR="00000000" w:rsidRDefault="00000000">
      <w:pPr>
        <w:pStyle w:val="a"/>
        <w:spacing w:line="360" w:lineRule="exact"/>
        <w:ind w:firstLineChars="200" w:firstLine="420"/>
        <w:rPr>
          <w:rFonts w:ascii="微软简仿宋" w:eastAsia="微软简仿宋"/>
          <w:szCs w:val="21"/>
        </w:rPr>
      </w:pPr>
      <w:r>
        <w:rPr>
          <w:rFonts w:ascii="微软简仿宋" w:eastAsia="微软简仿宋" w:hint="eastAsia"/>
          <w:szCs w:val="21"/>
        </w:rPr>
        <w:t>客户</w:t>
      </w:r>
      <w:r>
        <w:rPr>
          <w:rFonts w:ascii="微软简仿宋" w:eastAsia="微软简仿宋"/>
          <w:szCs w:val="21"/>
        </w:rPr>
        <w:t>通过</w:t>
      </w:r>
      <w:r>
        <w:rPr>
          <w:rFonts w:ascii="微软简仿宋" w:eastAsia="微软简仿宋" w:hint="eastAsia"/>
          <w:szCs w:val="21"/>
        </w:rPr>
        <w:t>华夏理财/代销机构</w:t>
      </w:r>
      <w:r>
        <w:rPr>
          <w:rFonts w:ascii="微软简仿宋" w:eastAsia="微软简仿宋"/>
          <w:szCs w:val="21"/>
        </w:rPr>
        <w:t>电子渠道自行确认后生效，即视为客户已阅读并</w:t>
      </w:r>
      <w:r>
        <w:rPr>
          <w:rFonts w:ascii="微软简仿宋" w:eastAsia="微软简仿宋" w:hint="eastAsia"/>
          <w:szCs w:val="21"/>
        </w:rPr>
        <w:t>清楚</w:t>
      </w:r>
      <w:r>
        <w:rPr>
          <w:rFonts w:ascii="微软简仿宋" w:eastAsia="微软简仿宋"/>
          <w:szCs w:val="21"/>
        </w:rPr>
        <w:t>风险</w:t>
      </w:r>
      <w:r>
        <w:rPr>
          <w:rFonts w:ascii="微软简仿宋" w:eastAsia="微软简仿宋" w:hint="eastAsia"/>
          <w:szCs w:val="21"/>
        </w:rPr>
        <w:t>揭</w:t>
      </w:r>
      <w:r>
        <w:rPr>
          <w:rFonts w:ascii="微软简仿宋" w:eastAsia="微软简仿宋"/>
          <w:szCs w:val="21"/>
        </w:rPr>
        <w:t>示</w:t>
      </w:r>
      <w:r>
        <w:rPr>
          <w:rFonts w:ascii="微软简仿宋" w:eastAsia="微软简仿宋" w:hint="eastAsia"/>
          <w:szCs w:val="21"/>
        </w:rPr>
        <w:t>，</w:t>
      </w:r>
      <w:r>
        <w:rPr>
          <w:rFonts w:ascii="微软简仿宋" w:eastAsia="微软简仿宋"/>
          <w:szCs w:val="21"/>
        </w:rPr>
        <w:t>愿意承担投资风险</w:t>
      </w:r>
      <w:r>
        <w:rPr>
          <w:rFonts w:ascii="微软简仿宋" w:eastAsia="微软简仿宋" w:hint="eastAsia"/>
          <w:szCs w:val="21"/>
        </w:rPr>
        <w:t>。</w:t>
      </w:r>
    </w:p>
    <w:p w14:paraId="10C22185" w14:textId="77777777" w:rsidR="00000000" w:rsidRDefault="00000000">
      <w:pPr>
        <w:pStyle w:val="a"/>
        <w:spacing w:line="360" w:lineRule="exact"/>
        <w:ind w:firstLineChars="200" w:firstLine="640"/>
        <w:rPr>
          <w:rFonts w:ascii="宋体" w:hAnsi="宋体" w:cs="宋体" w:hint="eastAsia"/>
          <w:sz w:val="32"/>
          <w:szCs w:val="32"/>
          <w:u w:val="single"/>
        </w:rPr>
      </w:pPr>
    </w:p>
    <w:p w14:paraId="028CA397" w14:textId="77777777" w:rsidR="00000000" w:rsidRDefault="00000000">
      <w:pPr>
        <w:pStyle w:val="a"/>
        <w:spacing w:line="360" w:lineRule="exact"/>
        <w:ind w:firstLineChars="3000" w:firstLine="6300"/>
        <w:rPr>
          <w:rFonts w:ascii="微软简仿宋" w:eastAsia="微软简仿宋" w:hint="eastAsia"/>
          <w:szCs w:val="21"/>
        </w:rPr>
      </w:pPr>
      <w:r>
        <w:rPr>
          <w:rFonts w:ascii="微软简仿宋" w:eastAsia="微软简仿宋" w:hint="eastAsia"/>
          <w:szCs w:val="21"/>
        </w:rPr>
        <w:lastRenderedPageBreak/>
        <w:t>客户（签字）：</w:t>
      </w:r>
    </w:p>
    <w:p w14:paraId="686C9B24" w14:textId="77777777" w:rsidR="00000000" w:rsidRDefault="00000000">
      <w:pPr>
        <w:pStyle w:val="a"/>
        <w:spacing w:line="360" w:lineRule="exact"/>
        <w:jc w:val="center"/>
        <w:rPr>
          <w:rFonts w:ascii="微软简标宋" w:eastAsia="微软简标宋" w:hAnsi="宋体" w:cs="宋体" w:hint="eastAsia"/>
          <w:sz w:val="28"/>
          <w:szCs w:val="28"/>
        </w:rPr>
      </w:pPr>
      <w:r>
        <w:rPr>
          <w:rFonts w:ascii="宋体" w:hAnsi="宋体" w:cs="宋体" w:hint="eastAsia"/>
          <w:szCs w:val="21"/>
        </w:rPr>
        <w:t xml:space="preserve">                                                      </w:t>
      </w:r>
      <w:r>
        <w:rPr>
          <w:rFonts w:ascii="微软简仿宋" w:eastAsia="微软简仿宋" w:hint="eastAsia"/>
          <w:szCs w:val="21"/>
        </w:rPr>
        <w:t>日期：</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 </w:t>
      </w:r>
      <w:r>
        <w:rPr>
          <w:rFonts w:ascii="宋体" w:hAnsi="宋体" w:cs="宋体" w:hint="eastAsia"/>
          <w:szCs w:val="21"/>
        </w:rPr>
        <w:t xml:space="preserve"> </w:t>
      </w:r>
      <w:r>
        <w:rPr>
          <w:rFonts w:ascii="微软简仿宋" w:eastAsia="微软简仿宋" w:hAnsi="宋体" w:cs="宋体" w:hint="eastAsia"/>
          <w:szCs w:val="21"/>
        </w:rPr>
        <w:t xml:space="preserve">年 </w:t>
      </w:r>
      <w:r>
        <w:rPr>
          <w:rFonts w:ascii="宋体" w:hAnsi="宋体" w:cs="宋体" w:hint="eastAsia"/>
          <w:szCs w:val="21"/>
        </w:rPr>
        <w:t xml:space="preserve"> </w:t>
      </w:r>
      <w:r>
        <w:rPr>
          <w:rFonts w:ascii="微软简仿宋" w:eastAsia="微软简仿宋" w:hAnsi="宋体" w:cs="宋体" w:hint="eastAsia"/>
          <w:szCs w:val="21"/>
        </w:rPr>
        <w:t xml:space="preserve">  月    日</w:t>
      </w:r>
    </w:p>
    <w:p w14:paraId="29889244" w14:textId="77777777" w:rsidR="00304DAF" w:rsidRDefault="00304DAF">
      <w:pPr>
        <w:pStyle w:val="a"/>
        <w:jc w:val="right"/>
        <w:rPr>
          <w:rFonts w:ascii="微软简仿宋" w:eastAsia="微软简仿宋" w:hint="eastAsia"/>
          <w:szCs w:val="21"/>
        </w:rPr>
      </w:pPr>
    </w:p>
    <w:p>
      <w:pPr>
        <w:pStyle w:val="a"/>
        <w:pageBreakBefore w:val="true"/>
      </w:pPr>
    </w:p>
    <w:p w14:paraId="761B8F4B" w14:textId="247D75D5" w:rsidR="00000000" w:rsidRDefault="005E287A">
      <w:pPr>
        <w:pStyle w:val="c37398bf"/>
        <w:rPr>
          <w:rFonts w:ascii="微软简标宋" w:eastAsia="微软简标宋" w:hint="eastAsia"/>
          <w:sz w:val="28"/>
          <w:szCs w:val="28"/>
        </w:rPr>
      </w:pPr>
      <w:r>
        <w:rPr>
          <w:rFonts w:ascii="微软简仿宋" w:eastAsia="微软简仿宋"/>
          <w:noProof/>
          <w:sz w:val="32"/>
          <w:szCs w:val="32"/>
        </w:rPr>
        <w:drawing>
          <wp:inline distT="0" distB="0" distL="0" distR="0" wp14:anchorId="638D5AD4" wp14:editId="6841042A">
            <wp:extent cx="2767330" cy="467360"/>
            <wp:effectExtent l="0" t="0" r="0" b="0"/>
            <wp:docPr id="2"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7360"/>
                    </a:xfrm>
                    <a:prstGeom prst="rect">
                      <a:avLst/>
                    </a:prstGeom>
                    <a:noFill/>
                    <a:ln>
                      <a:noFill/>
                    </a:ln>
                  </pic:spPr>
                </pic:pic>
              </a:graphicData>
            </a:graphic>
          </wp:inline>
        </w:drawing>
      </w:r>
    </w:p>
    <w:p w14:paraId="1A551A92" w14:textId="77777777" w:rsidR="00000000" w:rsidRDefault="00000000">
      <w:pPr>
        <w:pStyle w:val="c37398bf"/>
        <w:numPr>
          <w:ins w:id="0" w:author="张晓华" w:date="2021-07-12T15:01:00Z"/>
        </w:numPr>
        <w:spacing w:line="360" w:lineRule="exact"/>
        <w:jc w:val="left"/>
        <w:rPr>
          <w:rFonts w:hint="eastAsia"/>
        </w:rPr>
      </w:pPr>
    </w:p>
    <w:p w14:paraId="4DE92349" w14:textId="77777777" w:rsidR="00000000" w:rsidRDefault="00000000">
      <w:pPr>
        <w:pStyle w:val="c37398bf"/>
        <w:numPr>
          <w:ins w:id="1"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华夏理财有限责任公司个人理财产品</w:t>
      </w:r>
      <w:r>
        <w:rPr>
          <w:rFonts w:ascii="微软简标宋" w:eastAsia="微软简标宋" w:hint="eastAsia"/>
          <w:sz w:val="32"/>
          <w:szCs w:val="32"/>
        </w:rPr>
        <w:t>投资者</w:t>
      </w:r>
      <w:r>
        <w:rPr>
          <w:rFonts w:ascii="微软简标宋" w:eastAsia="微软简标宋" w:hint="eastAsia"/>
          <w:sz w:val="32"/>
        </w:rPr>
        <w:t>权益须知</w:t>
      </w:r>
    </w:p>
    <w:p w14:paraId="03FB95F8" w14:textId="77777777" w:rsidR="00000000" w:rsidRDefault="00000000">
      <w:pPr>
        <w:pStyle w:val="c37398bf"/>
        <w:numPr>
          <w:ins w:id="2" w:author="张晓华" w:date="2021-07-12T15:01:00Z"/>
        </w:numPr>
        <w:spacing w:line="360" w:lineRule="exact"/>
        <w:jc w:val="center"/>
        <w:rPr>
          <w:rFonts w:ascii="微软简标宋" w:eastAsia="微软简标宋" w:hint="eastAsia"/>
          <w:sz w:val="32"/>
        </w:rPr>
      </w:pPr>
      <w:r>
        <w:rPr>
          <w:rFonts w:ascii="微软简标宋" w:eastAsia="微软简标宋" w:hint="eastAsia"/>
          <w:sz w:val="32"/>
        </w:rPr>
        <w:t>（适用于代销机构）</w:t>
      </w:r>
    </w:p>
    <w:p w14:paraId="65B4F487" w14:textId="77777777" w:rsidR="00000000" w:rsidRDefault="00000000">
      <w:pPr>
        <w:pStyle w:val="c37398bf"/>
        <w:spacing w:line="360" w:lineRule="exact"/>
        <w:rPr>
          <w:rFonts w:ascii="微软简标宋" w:eastAsia="微软简标宋" w:hAnsi="宋体" w:cs="宋体" w:hint="eastAsia"/>
          <w:sz w:val="24"/>
        </w:rPr>
      </w:pPr>
    </w:p>
    <w:p w14:paraId="6A15CA0A" w14:textId="77777777" w:rsidR="00000000" w:rsidRDefault="00000000">
      <w:pPr>
        <w:pStyle w:val="c37398bf"/>
        <w:spacing w:line="360" w:lineRule="exact"/>
        <w:jc w:val="center"/>
        <w:rPr>
          <w:rFonts w:ascii="微软简标宋" w:eastAsia="微软简标宋" w:hAnsi="宋体" w:cs="宋体" w:hint="eastAsia"/>
          <w:sz w:val="24"/>
        </w:rPr>
      </w:pPr>
    </w:p>
    <w:p w14:paraId="60F4CA28" w14:textId="77777777" w:rsidR="00000000" w:rsidRDefault="00000000">
      <w:pPr>
        <w:pStyle w:val="c37398bf"/>
        <w:spacing w:line="360" w:lineRule="exact"/>
        <w:ind w:left="180"/>
        <w:rPr>
          <w:rFonts w:ascii="微软简仿宋" w:eastAsia="微软简仿宋" w:hint="eastAsia"/>
          <w:szCs w:val="21"/>
        </w:rPr>
      </w:pPr>
      <w:r>
        <w:rPr>
          <w:rFonts w:ascii="微软简仿宋" w:eastAsia="微软简仿宋" w:hint="eastAsia"/>
          <w:szCs w:val="21"/>
        </w:rPr>
        <w:t>尊敬的投资者：</w:t>
      </w:r>
    </w:p>
    <w:p w14:paraId="29FC4948"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为方便您办理理财业务，请仔细阅读以下内容，如有问题请及时联系</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975ED0">
        <w:rPr>
          <w:rFonts w:ascii="微软简仿宋" w:eastAsia="微软简仿宋" w:hAnsi="宋体" w:hint="eastAsia"/>
          <w:b/>
          <w:szCs w:val="21"/>
          <w:u w:val="single"/>
        </w:rPr>
        <w:t>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w:t>
      </w:r>
      <w:r>
        <w:rPr>
          <w:rFonts w:ascii="微软简仿宋" w:eastAsia="微软简仿宋" w:hint="eastAsia"/>
          <w:szCs w:val="21"/>
        </w:rPr>
        <w:t>。</w:t>
      </w:r>
    </w:p>
    <w:p w14:paraId="4E942672" w14:textId="77777777" w:rsidR="00000000" w:rsidRDefault="00000000">
      <w:pPr>
        <w:pStyle w:val="c37398bf"/>
        <w:spacing w:line="360" w:lineRule="exact"/>
        <w:ind w:left="180" w:firstLineChars="200" w:firstLine="420"/>
        <w:rPr>
          <w:rFonts w:ascii="微软简仿宋" w:eastAsia="微软简仿宋" w:hint="eastAsia"/>
          <w:b/>
          <w:szCs w:val="21"/>
        </w:rPr>
      </w:pPr>
      <w:r>
        <w:rPr>
          <w:rFonts w:ascii="微软简仿宋" w:eastAsia="微软简仿宋" w:hint="eastAsia"/>
          <w:b/>
          <w:szCs w:val="21"/>
        </w:rPr>
        <w:t>本理财产品的发行人为华夏理财有限责任公司</w:t>
      </w:r>
      <w:r>
        <w:rPr>
          <w:rFonts w:ascii="微软简仿宋" w:eastAsia="微软简仿宋" w:hAnsi="Calibri" w:hint="eastAsia"/>
          <w:b/>
          <w:szCs w:val="21"/>
        </w:rPr>
        <w:t>（以下简称：华夏理财/本公司）</w:t>
      </w:r>
      <w:r>
        <w:rPr>
          <w:rFonts w:ascii="微软简仿宋" w:eastAsia="微软简仿宋" w:hint="eastAsia"/>
          <w:b/>
          <w:szCs w:val="21"/>
        </w:rPr>
        <w:t>，代销机构仅为本理财产品的代理销售人，非理财产品的发行机构与管理机构。</w:t>
      </w:r>
    </w:p>
    <w:p w14:paraId="2493D4B5"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一、理财业务的办理</w:t>
      </w:r>
    </w:p>
    <w:p w14:paraId="5653EFCE"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（1）投资者办理理财业务时，须指定一个银行账户作为理财资金账户（具体账户开户行须满足理财代销机构业务要求）。理财产品认/申购资金、兑付、赎回、分红等款项将通过该账户扣缴和收付。</w:t>
      </w:r>
    </w:p>
    <w:p w14:paraId="6D2399AF"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（2）投资者可通过代销机构营业网点、电子银行、APP等渠道办理理财业务，具体交易时间及办理流程以代销机构的业务规则为准。</w:t>
      </w:r>
    </w:p>
    <w:p w14:paraId="09CBC557"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（3）投资者选择投资符合自身需求及风险承受能力的理财产品后，须阅读并签署投资协议书、销售（代理销售）协议书、产品说明书、风险揭示书和投资者权益须知等文件。</w:t>
      </w:r>
    </w:p>
    <w:p w14:paraId="695E4A55"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（4）投资者提交认购/申购/预约认购/预约申购交易后，代销机构依据销售文件约定划款时间划款。</w:t>
      </w:r>
    </w:p>
    <w:p w14:paraId="615693C4"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（5）华夏理财按照销售文件约定的业务规则，受理交易申请并进行交易确认。投资者应及时查询确认结果。</w:t>
      </w:r>
    </w:p>
    <w:p w14:paraId="516FADD4"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（6）代销机构对业务办理流程另有约定的，以代销机构约定为准。</w:t>
      </w:r>
    </w:p>
    <w:p w14:paraId="446C7FDF"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二、风险</w:t>
      </w:r>
      <w:r>
        <w:rPr>
          <w:rFonts w:ascii="微软简仿宋" w:eastAsia="微软简仿宋"/>
          <w:szCs w:val="21"/>
        </w:rPr>
        <w:t>承受能力评估流程</w:t>
      </w:r>
    </w:p>
    <w:p w14:paraId="11727065"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您首次购买理财产品前，需要在理财代销机构营业网点或其他指定方式完成风险承受能力评估。该评估结果有效期一年，并将作为评价您是否适合购买相应理财产品的重要因素，您可以通过理财代销机构营业网点或网上银行、手机银行进行风险承受能力持续评估。您的评估结果超过一年后再次购买理财产品时，必须重新评估风险承受能力；如您发生可能影响自身风险承受能力的情形，再次购买理财产品时应当主动要求重新评估风险承受能力。</w:t>
      </w:r>
      <w:r>
        <w:rPr>
          <w:rFonts w:ascii="微软简仿宋" w:eastAsia="微软简仿宋" w:hint="eastAsia"/>
          <w:b/>
          <w:bCs/>
          <w:szCs w:val="21"/>
        </w:rPr>
        <w:t>未准确、如实进行风险承受能力评估可能对产品购买带来不利影响，华夏理财及理财代销机构对因此产生的后果不承担任何责任。</w:t>
      </w:r>
    </w:p>
    <w:p w14:paraId="6E4E991F"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华夏理财客户风险承受能力评级及风险特征描述、适合的产品风险等级告知如下：</w:t>
      </w:r>
    </w:p>
    <w:tbl>
      <w:tblPr>
        <w:tblW w:w="0" w:type="auto"/>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0"/>
        <w:gridCol w:w="5734"/>
        <w:gridCol w:w="1967"/>
      </w:tblGrid>
      <w:tr w:rsidR="00000000" w14:paraId="2486670D" w14:textId="77777777">
        <w:trPr>
          <w:trHeight w:val="309"/>
          <w:tblHeader/>
          <w:jc w:val="center"/>
        </w:trPr>
        <w:tc>
          <w:tcPr>
            <w:tcW w:w="1370" w:type="dxa"/>
            <w:vAlign w:val="center"/>
          </w:tcPr>
          <w:p w14:paraId="58553093"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评级类型</w:t>
            </w:r>
          </w:p>
        </w:tc>
        <w:tc>
          <w:tcPr>
            <w:tcW w:w="5734" w:type="dxa"/>
            <w:vAlign w:val="center"/>
          </w:tcPr>
          <w:p w14:paraId="57354A0C"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评级具体含义</w:t>
            </w:r>
          </w:p>
        </w:tc>
        <w:tc>
          <w:tcPr>
            <w:tcW w:w="1967" w:type="dxa"/>
            <w:vAlign w:val="center"/>
          </w:tcPr>
          <w:p w14:paraId="3266959D" w14:textId="77777777" w:rsidR="00000000" w:rsidRDefault="00000000">
            <w:pPr>
              <w:adjustRightInd w:val="0"/>
              <w:snapToGrid w:val="0"/>
              <w:spacing w:line="300" w:lineRule="exact"/>
              <w:jc w:val="center"/>
              <w:rPr>
                <w:rFonts w:ascii="微软简仿宋" w:eastAsia="微软简仿宋" w:hint="eastAsia"/>
                <w:b/>
                <w:color w:val="000000"/>
                <w:kern w:val="0"/>
                <w:sz w:val="18"/>
                <w:szCs w:val="18"/>
              </w:rPr>
            </w:pPr>
            <w:r>
              <w:rPr>
                <w:rFonts w:ascii="微软简仿宋" w:eastAsia="微软简仿宋" w:hint="eastAsia"/>
                <w:b/>
                <w:color w:val="000000"/>
                <w:kern w:val="0"/>
                <w:sz w:val="18"/>
                <w:szCs w:val="18"/>
              </w:rPr>
              <w:t>适合的产品风险等级（华夏理财内部评级）</w:t>
            </w:r>
          </w:p>
        </w:tc>
      </w:tr>
      <w:tr w:rsidR="00000000" w14:paraId="77784878" w14:textId="77777777">
        <w:trPr>
          <w:trHeight w:val="526"/>
          <w:jc w:val="center"/>
        </w:trPr>
        <w:tc>
          <w:tcPr>
            <w:tcW w:w="1370" w:type="dxa"/>
            <w:vAlign w:val="center"/>
          </w:tcPr>
          <w:p w14:paraId="532C2E58"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CR1（谨慎型）</w:t>
            </w:r>
          </w:p>
        </w:tc>
        <w:tc>
          <w:tcPr>
            <w:tcW w:w="5734" w:type="dxa"/>
          </w:tcPr>
          <w:p w14:paraId="60FAD0E4"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低风险承受能力：您只能承受低程度的本金损失风险和收益波动，适合投资于本金损失概率低的投资工具。</w:t>
            </w:r>
          </w:p>
        </w:tc>
        <w:tc>
          <w:tcPr>
            <w:tcW w:w="1967" w:type="dxa"/>
            <w:vAlign w:val="center"/>
          </w:tcPr>
          <w:p w14:paraId="112C9C63"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w:t>
            </w:r>
          </w:p>
        </w:tc>
      </w:tr>
      <w:tr w:rsidR="00000000" w14:paraId="192E16AE" w14:textId="77777777">
        <w:trPr>
          <w:trHeight w:val="526"/>
          <w:jc w:val="center"/>
        </w:trPr>
        <w:tc>
          <w:tcPr>
            <w:tcW w:w="1370" w:type="dxa"/>
            <w:vAlign w:val="center"/>
          </w:tcPr>
          <w:p w14:paraId="5C8120DF"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CR2（稳健型）</w:t>
            </w:r>
          </w:p>
        </w:tc>
        <w:tc>
          <w:tcPr>
            <w:tcW w:w="5734" w:type="dxa"/>
          </w:tcPr>
          <w:p w14:paraId="60D6FFD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中低风险承受能力：您愿意承受较低程度的本金损失风险和收益波动，以获取稳健的投资收益，适合投资于本金损失概率较低、具有一定升值潜力的投资工具。</w:t>
            </w:r>
          </w:p>
        </w:tc>
        <w:tc>
          <w:tcPr>
            <w:tcW w:w="1967" w:type="dxa"/>
            <w:vAlign w:val="center"/>
          </w:tcPr>
          <w:p w14:paraId="3321225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w:t>
            </w:r>
          </w:p>
        </w:tc>
      </w:tr>
      <w:tr w:rsidR="00000000" w14:paraId="6D30B949" w14:textId="77777777">
        <w:trPr>
          <w:trHeight w:val="542"/>
          <w:jc w:val="center"/>
        </w:trPr>
        <w:tc>
          <w:tcPr>
            <w:tcW w:w="1370" w:type="dxa"/>
            <w:vAlign w:val="center"/>
          </w:tcPr>
          <w:p w14:paraId="1828CCDB"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CR3（</w:t>
            </w:r>
            <w:r>
              <w:rPr>
                <w:rFonts w:ascii="微软简仿宋" w:eastAsia="微软简仿宋" w:hint="eastAsia"/>
                <w:color w:val="000000"/>
                <w:kern w:val="0"/>
                <w:sz w:val="18"/>
                <w:szCs w:val="18"/>
              </w:rPr>
              <w:t>平衡型）</w:t>
            </w:r>
          </w:p>
        </w:tc>
        <w:tc>
          <w:tcPr>
            <w:tcW w:w="5734" w:type="dxa"/>
          </w:tcPr>
          <w:p w14:paraId="7047B783"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中等风险承受能力：您愿意承受中等程度的本金损失风险和收益波动，以获取适当的投资收益，适合投资于有一定升值潜力但投资价值存在一定波动的投资工具。</w:t>
            </w:r>
          </w:p>
        </w:tc>
        <w:tc>
          <w:tcPr>
            <w:tcW w:w="1967" w:type="dxa"/>
            <w:vAlign w:val="center"/>
          </w:tcPr>
          <w:p w14:paraId="0A580126"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w:t>
            </w:r>
          </w:p>
        </w:tc>
      </w:tr>
      <w:tr w:rsidR="00000000" w14:paraId="5175CE72" w14:textId="77777777">
        <w:trPr>
          <w:trHeight w:val="526"/>
          <w:jc w:val="center"/>
        </w:trPr>
        <w:tc>
          <w:tcPr>
            <w:tcW w:w="1370" w:type="dxa"/>
            <w:vAlign w:val="center"/>
          </w:tcPr>
          <w:p w14:paraId="0141255A"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lastRenderedPageBreak/>
              <w:t>CR4（</w:t>
            </w:r>
            <w:r>
              <w:rPr>
                <w:rFonts w:ascii="微软简仿宋" w:eastAsia="微软简仿宋" w:hint="eastAsia"/>
                <w:color w:val="000000"/>
                <w:kern w:val="0"/>
                <w:sz w:val="18"/>
                <w:szCs w:val="18"/>
              </w:rPr>
              <w:t>进取型）</w:t>
            </w:r>
          </w:p>
        </w:tc>
        <w:tc>
          <w:tcPr>
            <w:tcW w:w="5734" w:type="dxa"/>
          </w:tcPr>
          <w:p w14:paraId="3B429CAD"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中高风险承受能力：您愿意承受较高程度的本金损失风险和收益波动，以获取较高的投资收益，适合投资于有较高升值潜力但投资价值存在较大波动的投资工具。</w:t>
            </w:r>
          </w:p>
        </w:tc>
        <w:tc>
          <w:tcPr>
            <w:tcW w:w="1967" w:type="dxa"/>
            <w:vAlign w:val="center"/>
          </w:tcPr>
          <w:p w14:paraId="05816E6C"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w:t>
            </w:r>
          </w:p>
        </w:tc>
      </w:tr>
      <w:tr w:rsidR="00000000" w14:paraId="016833BC" w14:textId="77777777">
        <w:trPr>
          <w:trHeight w:val="858"/>
          <w:jc w:val="center"/>
        </w:trPr>
        <w:tc>
          <w:tcPr>
            <w:tcW w:w="1370" w:type="dxa"/>
            <w:tcBorders>
              <w:bottom w:val="single" w:sz="4" w:space="0" w:color="auto"/>
            </w:tcBorders>
            <w:vAlign w:val="center"/>
          </w:tcPr>
          <w:p w14:paraId="2F7DC182"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Ansi="宋体" w:cs="宋体" w:hint="eastAsia"/>
                <w:color w:val="000000"/>
                <w:kern w:val="0"/>
                <w:sz w:val="18"/>
                <w:szCs w:val="18"/>
              </w:rPr>
              <w:t>CR5（</w:t>
            </w:r>
            <w:r>
              <w:rPr>
                <w:rFonts w:ascii="微软简仿宋" w:eastAsia="微软简仿宋" w:hint="eastAsia"/>
                <w:color w:val="000000"/>
                <w:kern w:val="0"/>
                <w:sz w:val="18"/>
                <w:szCs w:val="18"/>
              </w:rPr>
              <w:t>激进型）</w:t>
            </w:r>
          </w:p>
        </w:tc>
        <w:tc>
          <w:tcPr>
            <w:tcW w:w="5734" w:type="dxa"/>
            <w:tcBorders>
              <w:bottom w:val="single" w:sz="4" w:space="0" w:color="auto"/>
            </w:tcBorders>
          </w:tcPr>
          <w:p w14:paraId="067566C1" w14:textId="77777777" w:rsidR="00000000" w:rsidRDefault="00000000">
            <w:pPr>
              <w:adjustRightInd w:val="0"/>
              <w:snapToGrid w:val="0"/>
              <w:spacing w:line="260" w:lineRule="exact"/>
              <w:ind w:firstLineChars="200" w:firstLine="360"/>
              <w:rPr>
                <w:rFonts w:ascii="微软简仿宋" w:eastAsia="微软简仿宋" w:hint="eastAsia"/>
                <w:color w:val="000000"/>
                <w:kern w:val="0"/>
                <w:sz w:val="18"/>
                <w:szCs w:val="18"/>
              </w:rPr>
            </w:pPr>
            <w:r>
              <w:rPr>
                <w:rFonts w:ascii="微软简仿宋" w:eastAsia="微软简仿宋" w:hint="eastAsia"/>
                <w:color w:val="000000"/>
                <w:kern w:val="0"/>
                <w:sz w:val="18"/>
                <w:szCs w:val="18"/>
              </w:rPr>
              <w:t>高风险承受能力：您愿意承受高程度的本金损失风险和收益波动，以获取高额投资收益，适合投资于升值潜力高但投资价值波动大的投资工具。</w:t>
            </w:r>
          </w:p>
        </w:tc>
        <w:tc>
          <w:tcPr>
            <w:tcW w:w="1967" w:type="dxa"/>
            <w:tcBorders>
              <w:bottom w:val="single" w:sz="4" w:space="0" w:color="auto"/>
            </w:tcBorders>
            <w:vAlign w:val="center"/>
          </w:tcPr>
          <w:p w14:paraId="60F3BB60" w14:textId="77777777" w:rsidR="00000000" w:rsidRDefault="00000000">
            <w:pPr>
              <w:adjustRightInd w:val="0"/>
              <w:snapToGrid w:val="0"/>
              <w:spacing w:line="260" w:lineRule="exact"/>
              <w:jc w:val="center"/>
              <w:rPr>
                <w:rFonts w:ascii="微软简仿宋" w:eastAsia="微软简仿宋" w:hint="eastAsia"/>
                <w:color w:val="000000"/>
                <w:kern w:val="0"/>
                <w:sz w:val="18"/>
                <w:szCs w:val="18"/>
              </w:rPr>
            </w:pPr>
            <w:r>
              <w:rPr>
                <w:rFonts w:ascii="微软简仿宋" w:eastAsia="微软简仿宋" w:hint="eastAsia"/>
                <w:color w:val="000000"/>
                <w:kern w:val="0"/>
                <w:sz w:val="18"/>
                <w:szCs w:val="18"/>
              </w:rPr>
              <w:t>PR1级、PR2级、PR3级、PR4级、PR5级</w:t>
            </w:r>
          </w:p>
        </w:tc>
      </w:tr>
    </w:tbl>
    <w:p w14:paraId="15956F51" w14:textId="77777777" w:rsidR="00000000" w:rsidRDefault="00000000">
      <w:pPr>
        <w:pStyle w:val="c37398bf"/>
        <w:spacing w:line="360" w:lineRule="exact"/>
        <w:ind w:left="180" w:firstLineChars="200" w:firstLine="420"/>
        <w:rPr>
          <w:rFonts w:ascii="微软简仿宋" w:eastAsia="微软简仿宋" w:hint="eastAsia"/>
          <w:szCs w:val="21"/>
        </w:rPr>
      </w:pPr>
    </w:p>
    <w:p w14:paraId="20DC3CDD" w14:textId="77777777" w:rsidR="00000000" w:rsidRDefault="00000000">
      <w:pPr>
        <w:pStyle w:val="c37398bf"/>
        <w:spacing w:line="360" w:lineRule="exact"/>
        <w:ind w:left="218" w:hangingChars="104" w:hanging="218"/>
        <w:rPr>
          <w:rFonts w:ascii="微软简仿宋" w:eastAsia="微软简仿宋" w:hAnsi="宋体" w:cs="宋体" w:hint="eastAsia"/>
          <w:b/>
          <w:bCs/>
          <w:szCs w:val="21"/>
        </w:rPr>
      </w:pPr>
      <w:r>
        <w:rPr>
          <w:rFonts w:ascii="微软简仿宋" w:eastAsia="微软简仿宋" w:hAnsi="宋体" w:cs="宋体" w:hint="eastAsia"/>
          <w:szCs w:val="21"/>
        </w:rPr>
        <w:t xml:space="preserve">      </w:t>
      </w:r>
      <w:r>
        <w:rPr>
          <w:rFonts w:ascii="微软简仿宋" w:eastAsia="微软简仿宋" w:hAnsi="宋体" w:cs="宋体" w:hint="eastAsia"/>
          <w:b/>
          <w:bCs/>
          <w:szCs w:val="21"/>
        </w:rPr>
        <w:t>代销机构投资者风险承受能力评估流程、风险承受能力评级结果及评级具体含义以代销机构告知的结果为准。</w:t>
      </w:r>
    </w:p>
    <w:p w14:paraId="3C179F5F" w14:textId="77777777" w:rsidR="00000000" w:rsidRDefault="00000000">
      <w:pPr>
        <w:pStyle w:val="c37398bf"/>
        <w:spacing w:line="360" w:lineRule="exact"/>
        <w:ind w:left="180" w:firstLineChars="200" w:firstLine="420"/>
        <w:rPr>
          <w:rFonts w:ascii="微软简仿宋" w:eastAsia="微软简仿宋" w:hAnsi="宋体" w:cs="宋体" w:hint="eastAsia"/>
          <w:szCs w:val="21"/>
        </w:rPr>
      </w:pPr>
      <w:r>
        <w:rPr>
          <w:rFonts w:ascii="微软简仿宋" w:eastAsia="微软简仿宋" w:hAnsi="宋体" w:cs="宋体" w:hint="eastAsia"/>
          <w:szCs w:val="21"/>
        </w:rPr>
        <w:t>您购买具体的理财产品，应签署投资协议书、销售（代理销售）协议书、产品说明书、风险揭示书和投资者权益须知等文件。</w:t>
      </w:r>
    </w:p>
    <w:p w14:paraId="7149E0BA"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Ansi="宋体" w:cs="宋体" w:hint="eastAsia"/>
          <w:szCs w:val="21"/>
        </w:rPr>
        <w:t>三、有关理财产品的信息披露将通过</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cs="宋体" w:hint="eastAsia"/>
          <w:szCs w:val="21"/>
        </w:rPr>
        <w:t>华夏银行官方</w:t>
      </w:r>
      <w:r>
        <w:rPr>
          <w:rFonts w:ascii="微软简仿宋" w:eastAsia="微软简仿宋" w:hint="eastAsia"/>
          <w:szCs w:val="21"/>
        </w:rPr>
        <w:t>网站（</w:t>
      </w:r>
      <w:hyperlink r:id="rId5" w:history="1">
        <w:r>
          <w:rPr>
            <w:rStyle w:val="4578a804"/>
            <w:rFonts w:ascii="微软简仿宋" w:eastAsia="微软简仿宋" w:hint="eastAsia"/>
            <w:szCs w:val="21"/>
          </w:rPr>
          <w:t>http://www.hxb.com.cn</w:t>
        </w:r>
      </w:hyperlink>
      <w:r>
        <w:rPr>
          <w:rFonts w:ascii="微软简仿宋" w:eastAsia="微软简仿宋" w:hint="eastAsia"/>
          <w:szCs w:val="21"/>
        </w:rPr>
        <w:t>）或其他方式、渠道</w:t>
      </w:r>
      <w:r>
        <w:rPr>
          <w:rFonts w:ascii="微软简仿宋" w:eastAsia="微软简仿宋" w:hAnsi="宋体" w:cs="宋体" w:hint="eastAsia"/>
          <w:szCs w:val="21"/>
        </w:rPr>
        <w:t>通知客户</w:t>
      </w:r>
      <w:r>
        <w:rPr>
          <w:rFonts w:ascii="微软简仿宋" w:eastAsia="微软简仿宋" w:hint="eastAsia"/>
          <w:szCs w:val="21"/>
        </w:rPr>
        <w:t>，披露内容、方式、渠道及频率以理财产品说明书及本公司最新公告为准，请您及时查询。</w:t>
      </w:r>
    </w:p>
    <w:p w14:paraId="3A3F4697" w14:textId="77777777" w:rsidR="00000000" w:rsidRDefault="00000000">
      <w:pPr>
        <w:pStyle w:val="c37398bf"/>
        <w:spacing w:line="360" w:lineRule="exact"/>
        <w:ind w:left="180" w:firstLineChars="200" w:firstLine="420"/>
        <w:rPr>
          <w:rFonts w:ascii="微软简仿宋" w:eastAsia="微软简仿宋" w:hint="eastAsia"/>
          <w:szCs w:val="21"/>
        </w:rPr>
      </w:pPr>
      <w:r>
        <w:rPr>
          <w:rFonts w:ascii="微软简仿宋" w:eastAsia="微软简仿宋" w:hint="eastAsia"/>
          <w:szCs w:val="21"/>
        </w:rPr>
        <w:t>四、您对理财产品有任何意见或异议，请联系</w:t>
      </w:r>
      <w:bookmarkStart w:id="3" w:name="_Hlk76302332"/>
      <w:r>
        <w:rPr>
          <w:rFonts w:ascii="微软简仿宋" w:eastAsia="微软简仿宋" w:hint="eastAsia"/>
          <w:szCs w:val="21"/>
        </w:rPr>
        <w:t>华夏理财/代销机构</w:t>
      </w:r>
      <w:bookmarkEnd w:id="3"/>
      <w:r>
        <w:rPr>
          <w:rFonts w:ascii="微软简仿宋" w:eastAsia="微软简仿宋" w:hint="eastAsia"/>
          <w:szCs w:val="21"/>
        </w:rPr>
        <w:t>理财经理</w:t>
      </w:r>
      <w:bookmarkStart w:id="4" w:name="_Hlk76302339"/>
      <w:r>
        <w:rPr>
          <w:rFonts w:ascii="微软简仿宋" w:eastAsia="微软简仿宋" w:hint="eastAsia"/>
          <w:szCs w:val="21"/>
        </w:rPr>
        <w:t>或反馈至华夏理财/代销机构营业网点</w:t>
      </w:r>
      <w:bookmarkEnd w:id="4"/>
      <w:r>
        <w:rPr>
          <w:rFonts w:ascii="微软简仿宋" w:eastAsia="微软简仿宋" w:hint="eastAsia"/>
          <w:szCs w:val="21"/>
        </w:rPr>
        <w:t>，也可致电</w:t>
      </w:r>
      <w:r>
        <w:rPr>
          <w:rFonts w:ascii="微软简仿宋" w:eastAsia="微软简仿宋" w:hAnsi="宋体" w:hint="eastAsia"/>
          <w:b/>
          <w:szCs w:val="21"/>
        </w:rPr>
        <w:t>□</w:t>
      </w:r>
      <w:r>
        <w:rPr>
          <w:rFonts w:ascii="微软简仿宋" w:eastAsia="微软简仿宋" w:hAnsi="宋体" w:hint="eastAsia"/>
          <w:b/>
          <w:szCs w:val="21"/>
          <w:u w:val="single"/>
        </w:rPr>
        <w:t xml:space="preserve">     </w:t>
      </w:r>
      <w:r>
        <w:rPr>
          <w:rFonts w:ascii="微软简仿宋" w:eastAsia="微软简仿宋" w:hAnsi="宋体" w:hint="eastAsia"/>
          <w:b/>
          <w:szCs w:val="21"/>
        </w:rPr>
        <w:t>、□</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eastAsia="微软简仿宋" w:hAnsi="宋体" w:hint="eastAsia"/>
          <w:b/>
          <w:szCs w:val="21"/>
          <w:u w:val="single"/>
        </w:rPr>
        <w:t xml:space="preserve"> </w:t>
      </w:r>
      <w:r w:rsidR="006F24B6">
        <w:rPr>
          <w:rFonts w:ascii="微软简仿宋" w:eastAsia="微软简仿宋" w:hAnsi="宋体" w:hint="eastAsia"/>
          <w:b/>
          <w:szCs w:val="21"/>
          <w:u w:val="single"/>
        </w:rPr>
        <w:t xml:space="preserve"> 厦门银行股份有限公司</w:t>
      </w:r>
      <w:r>
        <w:rPr>
          <w:rFonts w:ascii="微软简仿宋" w:eastAsia="微软简仿宋" w:hAnsi="宋体" w:hint="eastAsia"/>
          <w:b/>
          <w:szCs w:val="21"/>
          <w:u w:val="single"/>
        </w:rPr>
        <w:t xml:space="preserve"> </w:t>
      </w:r>
      <w:r>
        <w:rPr>
          <w:rFonts w:ascii="微软简仿宋" w:eastAsia="微软简仿宋" w:hAnsi="宋体" w:hint="eastAsia"/>
          <w:b/>
          <w:szCs w:val="21"/>
        </w:rPr>
        <w:t>代销机构客户服务热线，华夏理财或代销机构将及时受理并给予回复</w:t>
      </w:r>
      <w:r>
        <w:rPr>
          <w:rFonts w:ascii="微软简仿宋" w:eastAsia="微软简仿宋" w:hint="eastAsia"/>
          <w:szCs w:val="21"/>
        </w:rPr>
        <w:t>。</w:t>
      </w:r>
    </w:p>
    <w:p w14:paraId="2883F4FC" w14:textId="77777777" w:rsidR="00000000" w:rsidRDefault="00000000">
      <w:pPr>
        <w:pStyle w:val="c37398bf"/>
        <w:rPr>
          <w:rFonts w:ascii="微软简仿宋" w:eastAsia="微软简仿宋" w:hint="eastAsia"/>
          <w:b/>
          <w:bCs/>
          <w:szCs w:val="21"/>
        </w:rPr>
      </w:pPr>
    </w:p>
    <w:p w14:paraId="695A3120" w14:textId="77777777" w:rsidR="00000000" w:rsidRDefault="00000000">
      <w:pPr>
        <w:pStyle w:val="c37398bf"/>
        <w:rPr>
          <w:rFonts w:ascii="微软简仿宋" w:eastAsia="微软简仿宋" w:hint="eastAsia"/>
          <w:b/>
          <w:bCs/>
          <w:szCs w:val="21"/>
        </w:rPr>
      </w:pPr>
    </w:p>
    <w:p w14:paraId="441B80B3" w14:textId="77777777" w:rsidR="00000000" w:rsidRDefault="00000000">
      <w:pPr>
        <w:pStyle w:val="c37398bf"/>
        <w:rPr>
          <w:rFonts w:ascii="微软简仿宋" w:eastAsia="微软简仿宋" w:hint="eastAsia"/>
          <w:b/>
          <w:bCs/>
          <w:szCs w:val="21"/>
        </w:rPr>
      </w:pPr>
    </w:p>
    <w:p w14:paraId="6E253854" w14:textId="77777777" w:rsidR="00000000" w:rsidRDefault="00000000">
      <w:pPr>
        <w:pStyle w:val="c37398bf"/>
        <w:rPr>
          <w:rFonts w:ascii="微软简仿宋" w:eastAsia="微软简仿宋" w:hint="eastAsia"/>
          <w:b/>
          <w:bCs/>
          <w:szCs w:val="21"/>
        </w:rPr>
      </w:pPr>
    </w:p>
    <w:p w14:paraId="24EEDE89" w14:textId="77777777" w:rsidR="00000000" w:rsidRDefault="00000000">
      <w:pPr>
        <w:pStyle w:val="c37398bf"/>
        <w:rPr>
          <w:rFonts w:ascii="微软简仿宋" w:eastAsia="微软简仿宋" w:hint="eastAsia"/>
          <w:b/>
          <w:bCs/>
          <w:szCs w:val="21"/>
        </w:rPr>
      </w:pPr>
    </w:p>
    <w:p w14:paraId="7ADBF686" w14:textId="77777777" w:rsidR="006D7546" w:rsidRDefault="00000000">
      <w:pPr>
        <w:pStyle w:val="c37398bf"/>
        <w:jc w:val="right"/>
        <w:rPr>
          <w:rFonts w:ascii="微软简仿宋" w:eastAsia="微软简仿宋" w:hint="eastAsia"/>
          <w:szCs w:val="21"/>
        </w:rPr>
      </w:pPr>
      <w:r>
        <w:rPr>
          <w:rFonts w:ascii="微软简仿宋" w:eastAsia="微软简仿宋" w:hint="eastAsia"/>
          <w:b/>
          <w:bCs/>
          <w:szCs w:val="21"/>
        </w:rPr>
        <w:t>告知方：华夏理财有限责任公司</w:t>
      </w:r>
    </w:p>
    <w:p>
      <w:pPr>
        <w:pStyle w:val="c37398bf"/>
        <w:pageBreakBefore w:val="true"/>
      </w:pPr>
    </w:p>
    <w:p w14:paraId="69997647" w14:textId="06CF27DE" w:rsidR="0074532A" w:rsidRDefault="0054018B">
      <w:pPr>
        <w:pStyle w:val="7063fc63"/>
        <w:spacing w:line="360" w:lineRule="auto"/>
        <w:jc w:val="left"/>
        <w:rPr>
          <w:rFonts w:ascii="微软简标宋" w:eastAsia="微软简标宋"/>
          <w:b/>
          <w:sz w:val="32"/>
          <w:szCs w:val="21"/>
        </w:rPr>
      </w:pPr>
      <w:r>
        <w:rPr>
          <w:rFonts w:ascii="微软简标宋"/>
          <w:noProof/>
          <w:sz w:val="36"/>
        </w:rPr>
        <w:drawing>
          <wp:inline distT="0" distB="0" distL="0" distR="0" wp14:anchorId="5C2ECA81" wp14:editId="68216712">
            <wp:extent cx="2767330" cy="4667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2767330" cy="466725"/>
                    </a:xfrm>
                    <a:prstGeom prst="rect">
                      <a:avLst/>
                    </a:prstGeom>
                    <a:noFill/>
                    <a:ln>
                      <a:noFill/>
                    </a:ln>
                  </pic:spPr>
                </pic:pic>
              </a:graphicData>
            </a:graphic>
          </wp:inline>
        </w:drawing>
      </w:r>
    </w:p>
    <w:p w14:paraId="3F5B61C7" w14:textId="77777777" w:rsidR="0074532A" w:rsidRDefault="0074532A">
      <w:pPr>
        <w:pStyle w:val="7063fc63"/>
        <w:spacing w:line="360" w:lineRule="auto"/>
        <w:jc w:val="center"/>
        <w:rPr>
          <w:rFonts w:ascii="微软简标宋" w:eastAsia="微软简标宋"/>
          <w:b/>
          <w:sz w:val="32"/>
          <w:szCs w:val="21"/>
        </w:rPr>
      </w:pPr>
    </w:p>
    <w:p w14:paraId="2FC2DCEC" w14:textId="77777777" w:rsidR="0074532A" w:rsidRDefault="00000000">
      <w:pPr>
        <w:pStyle w:val="7063fc63"/>
        <w:spacing w:line="360" w:lineRule="auto"/>
        <w:jc w:val="center"/>
        <w:rPr>
          <w:rFonts w:ascii="微软简标宋" w:eastAsia="微软简标宋"/>
          <w:b/>
          <w:sz w:val="32"/>
          <w:szCs w:val="21"/>
        </w:rPr>
      </w:pPr>
      <w:r>
        <w:rPr>
          <w:rFonts w:ascii="微软简标宋" w:eastAsia="微软简标宋" w:hint="eastAsia"/>
          <w:b/>
          <w:sz w:val="32"/>
          <w:szCs w:val="21"/>
        </w:rPr>
        <w:t>华夏理财有限责任公司理财产品投资协议书</w:t>
      </w:r>
    </w:p>
    <w:p w14:paraId="61A2041A" w14:textId="77777777" w:rsidR="0074532A" w:rsidRDefault="00000000">
      <w:pPr>
        <w:pStyle w:val="7063fc63"/>
        <w:spacing w:line="360" w:lineRule="auto"/>
        <w:jc w:val="center"/>
        <w:rPr>
          <w:rFonts w:ascii="微软简标宋" w:eastAsia="微软简标宋"/>
          <w:b/>
          <w:sz w:val="32"/>
          <w:szCs w:val="21"/>
        </w:rPr>
      </w:pPr>
      <w:r>
        <w:rPr>
          <w:rFonts w:ascii="仿宋" w:eastAsia="仿宋" w:cs="仿宋" w:hint="eastAsia"/>
          <w:kern w:val="0"/>
          <w:sz w:val="24"/>
          <w:szCs w:val="24"/>
        </w:rPr>
        <w:t>理财非存款、产品有风险、投资须谨慎。</w:t>
      </w:r>
    </w:p>
    <w:p w14:paraId="1F844665" w14:textId="77777777" w:rsidR="0074532A" w:rsidRDefault="00000000">
      <w:pPr>
        <w:pStyle w:val="7063fc63"/>
        <w:adjustRightInd w:val="0"/>
        <w:snapToGrid w:val="0"/>
        <w:spacing w:line="360" w:lineRule="auto"/>
        <w:jc w:val="center"/>
        <w:rPr>
          <w:rFonts w:ascii="微软简仿宋" w:eastAsia="微软简仿宋" w:hAnsi="宋体"/>
          <w:b/>
          <w:szCs w:val="21"/>
        </w:rPr>
      </w:pPr>
      <w:r>
        <w:rPr>
          <w:rFonts w:ascii="微软简仿宋" w:eastAsia="微软简仿宋" w:hAnsi="宋体" w:hint="eastAsia"/>
          <w:b/>
          <w:szCs w:val="21"/>
        </w:rPr>
        <w:t>重要提示</w:t>
      </w:r>
    </w:p>
    <w:p w14:paraId="308D4837" w14:textId="308E8F6F" w:rsidR="0074532A" w:rsidRDefault="00000000">
      <w:pPr>
        <w:pStyle w:val="7063fc63"/>
        <w:adjustRightInd w:val="0"/>
        <w:snapToGrid w:val="0"/>
        <w:spacing w:line="360" w:lineRule="auto"/>
        <w:ind w:firstLineChars="200" w:firstLine="420"/>
        <w:rPr>
          <w:rFonts w:ascii="微软简仿宋" w:eastAsia="微软简仿宋" w:hAnsi="宋体"/>
          <w:szCs w:val="21"/>
        </w:rPr>
      </w:pPr>
      <w:r>
        <w:rPr>
          <w:rFonts w:ascii="微软简仿宋" w:eastAsia="微软简仿宋" w:hAnsi="宋体" w:hint="eastAsia"/>
          <w:b/>
          <w:szCs w:val="21"/>
        </w:rPr>
        <w:t>尊敬的投资者：为了维护您的权益，请在签署本协议前，仔细阅读本协议各条款（特别是含有黑体文字的条款）。如您有疑问或不明之处，请向理财</w:t>
      </w:r>
      <w:r>
        <w:rPr>
          <w:rFonts w:ascii="微软简仿宋" w:eastAsia="微软简仿宋" w:hAnsi="宋体"/>
          <w:b/>
          <w:szCs w:val="21"/>
        </w:rPr>
        <w:t>产品</w:t>
      </w:r>
      <w:r>
        <w:rPr>
          <w:rFonts w:ascii="微软简仿宋" w:eastAsia="微软简仿宋" w:hAnsi="宋体" w:hint="eastAsia"/>
          <w:b/>
          <w:szCs w:val="21"/>
        </w:rPr>
        <w:t>销售机构或华夏理财有限责任公司咨询。如需业务咨询和投诉，请拨打□</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w:t>
      </w:r>
      <w:r>
        <w:rPr>
          <w:rFonts w:ascii="微软简仿宋" w:eastAsia="微软简仿宋" w:hAnsi="宋体"/>
          <w:b/>
          <w:szCs w:val="21"/>
        </w:rPr>
        <w:t>华夏银行全国统一投资者服务热线（</w:t>
      </w:r>
      <w:r>
        <w:rPr>
          <w:rFonts w:ascii="微软简仿宋" w:eastAsia="微软简仿宋" w:hAnsi="宋体" w:hint="eastAsia"/>
          <w:b/>
          <w:szCs w:val="21"/>
        </w:rPr>
        <w:t>95</w:t>
      </w:r>
      <w:r>
        <w:rPr>
          <w:rFonts w:ascii="微软简仿宋" w:eastAsia="微软简仿宋" w:hAnsi="宋体"/>
          <w:b/>
          <w:szCs w:val="21"/>
        </w:rPr>
        <w:t>577）</w:t>
      </w:r>
      <w:r>
        <w:rPr>
          <w:rFonts w:ascii="微软简仿宋" w:eastAsia="微软简仿宋" w:hAnsi="宋体" w:hint="eastAsia"/>
          <w:b/>
          <w:szCs w:val="21"/>
        </w:rPr>
        <w:t>□或</w:t>
      </w:r>
      <w:r>
        <w:rPr>
          <w:rFonts w:ascii="微软简仿宋" w:hAnsi="宋体" w:cs="宋体" w:hint="eastAsia"/>
          <w:color w:val="000000"/>
          <w:szCs w:val="21"/>
          <w:u w:val="single"/>
        </w:rPr>
        <w:t xml:space="preserve">　</w:t>
      </w:r>
      <w:r>
        <w:rPr>
          <w:rFonts w:ascii="微软简仿宋" w:eastAsia="微软简仿宋" w:hint="eastAsia"/>
          <w:color w:val="000000"/>
          <w:szCs w:val="21"/>
          <w:u w:val="single"/>
        </w:rPr>
        <w:t xml:space="preserve"> </w:t>
      </w:r>
      <w:r w:rsidR="00A8456D" w:rsidRPr="00A8456D">
        <w:rPr>
          <w:rFonts w:ascii="微软简仿宋" w:eastAsia="微软简仿宋"/>
          <w:color w:val="000000"/>
          <w:szCs w:val="21"/>
          <w:u w:val="single"/>
        </w:rPr>
        <w:t>厦门银行股份有限公司</w:t>
      </w:r>
      <w:r>
        <w:rPr>
          <w:rFonts w:ascii="微软简仿宋" w:eastAsia="微软简仿宋" w:hint="eastAsia"/>
          <w:color w:val="000000"/>
          <w:szCs w:val="21"/>
          <w:u w:val="single"/>
        </w:rPr>
        <w:t xml:space="preserve">  </w:t>
      </w:r>
      <w:r>
        <w:rPr>
          <w:rFonts w:ascii="微软简仿宋" w:eastAsia="微软简仿宋" w:hAnsi="宋体" w:hint="eastAsia"/>
          <w:b/>
          <w:szCs w:val="21"/>
        </w:rPr>
        <w:t xml:space="preserve"> 代销机构客户服务热线。</w:t>
      </w:r>
    </w:p>
    <w:p w14:paraId="3718304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提请您在购买理财产品前特别注意以下事项：</w:t>
      </w:r>
    </w:p>
    <w:p w14:paraId="360227BB"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1</w:t>
      </w:r>
      <w:r>
        <w:rPr>
          <w:rFonts w:ascii="微软简仿宋" w:eastAsia="微软简仿宋" w:hint="eastAsia"/>
          <w:bCs/>
          <w:color w:val="000000"/>
          <w:szCs w:val="21"/>
        </w:rPr>
        <w:t>．</w:t>
      </w:r>
      <w:r>
        <w:rPr>
          <w:rFonts w:ascii="微软简仿宋" w:eastAsia="微软简仿宋" w:hint="eastAsia"/>
          <w:b/>
          <w:color w:val="000000"/>
          <w:szCs w:val="21"/>
        </w:rPr>
        <w:t>理财产品不保证本金和收益，投资者的本金可能会因市场变动而蒙受损失，投资者应充分理解产品的风险评级含义，充分认识投资风险，谨慎投资。</w:t>
      </w:r>
    </w:p>
    <w:p w14:paraId="0BBB1365"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2</w:t>
      </w:r>
      <w:r>
        <w:rPr>
          <w:rFonts w:ascii="微软简仿宋" w:eastAsia="微软简仿宋" w:hint="eastAsia"/>
          <w:bCs/>
          <w:color w:val="000000"/>
          <w:szCs w:val="21"/>
        </w:rPr>
        <w:t>．</w:t>
      </w:r>
      <w:r>
        <w:rPr>
          <w:rFonts w:ascii="微软简仿宋" w:eastAsia="微软简仿宋" w:hint="eastAsia"/>
          <w:b/>
          <w:color w:val="000000"/>
          <w:szCs w:val="21"/>
        </w:rPr>
        <w:t>本协议中的任何业绩比较基准</w:t>
      </w:r>
      <w:r>
        <w:rPr>
          <w:rFonts w:ascii="微软简仿宋" w:eastAsia="微软简仿宋"/>
          <w:b/>
          <w:color w:val="000000"/>
          <w:szCs w:val="21"/>
        </w:rPr>
        <w:t>、</w:t>
      </w:r>
      <w:r>
        <w:rPr>
          <w:rFonts w:ascii="微软简仿宋" w:eastAsia="微软简仿宋" w:hint="eastAsia"/>
          <w:b/>
          <w:color w:val="000000"/>
          <w:szCs w:val="21"/>
        </w:rPr>
        <w:t>测算收益、目标</w:t>
      </w:r>
      <w:r>
        <w:rPr>
          <w:rFonts w:ascii="微软简仿宋" w:eastAsia="微软简仿宋"/>
          <w:b/>
          <w:color w:val="000000"/>
          <w:szCs w:val="21"/>
        </w:rPr>
        <w:t>收益</w:t>
      </w:r>
      <w:r>
        <w:rPr>
          <w:rFonts w:ascii="微软简仿宋" w:eastAsia="微软简仿宋" w:hint="eastAsia"/>
          <w:b/>
          <w:color w:val="000000"/>
          <w:szCs w:val="21"/>
        </w:rPr>
        <w:t>或类似表述均不代表投资者可能获得的实际收益，亦不构成华夏理财有限责任公司对理财产品的任何收益承诺。</w:t>
      </w:r>
    </w:p>
    <w:p w14:paraId="22E3B0BB"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理财产品的过往平均业绩和最好、最差业绩或类似表述均不代表甲方最终获得的实际收益，亦不构成乙方对理财产品本金和收益的任何承诺或保证。风险等级或结构相同的同类理财产品既往的业绩并不代表甲方可预期的收益。</w:t>
      </w:r>
    </w:p>
    <w:p w14:paraId="13FFC1C4"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b/>
          <w:color w:val="000000"/>
          <w:szCs w:val="21"/>
        </w:rPr>
        <w:t>4</w:t>
      </w:r>
      <w:r>
        <w:rPr>
          <w:rFonts w:ascii="微软简仿宋" w:eastAsia="微软简仿宋" w:hint="eastAsia"/>
          <w:bCs/>
          <w:color w:val="000000"/>
          <w:szCs w:val="21"/>
        </w:rPr>
        <w:t>．请认真阅读本协议，全面了解各条款，特别注意含有黑体字标题或黑体字文字的条款。</w:t>
      </w:r>
    </w:p>
    <w:p w14:paraId="55B928C9" w14:textId="77777777" w:rsidR="0074532A" w:rsidRDefault="0074532A">
      <w:pPr>
        <w:pStyle w:val="7063fc63"/>
        <w:adjustRightInd w:val="0"/>
        <w:snapToGrid w:val="0"/>
        <w:spacing w:line="360" w:lineRule="auto"/>
        <w:ind w:firstLineChars="200" w:firstLine="420"/>
        <w:jc w:val="left"/>
        <w:rPr>
          <w:rFonts w:ascii="微软简仿宋" w:eastAsia="微软简仿宋"/>
          <w:b/>
          <w:color w:val="000000"/>
          <w:szCs w:val="21"/>
        </w:rPr>
      </w:pPr>
    </w:p>
    <w:p w14:paraId="3B5E83C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甲方（即购买理财产品的投资者）本着自主决策、自愿委托、风险自担的原则，委托乙方（华夏理财有限责任公司）按照本协议</w:t>
      </w:r>
      <w:r>
        <w:rPr>
          <w:rFonts w:ascii="微软简仿宋" w:eastAsia="微软简仿宋"/>
          <w:color w:val="000000"/>
          <w:szCs w:val="21"/>
        </w:rPr>
        <w:t>、理财产品说明书</w:t>
      </w:r>
      <w:r>
        <w:rPr>
          <w:rFonts w:ascii="微软简仿宋" w:eastAsia="微软简仿宋" w:hint="eastAsia"/>
          <w:color w:val="000000"/>
          <w:szCs w:val="21"/>
        </w:rPr>
        <w:t>、</w:t>
      </w:r>
      <w:r>
        <w:rPr>
          <w:rFonts w:ascii="微软简仿宋" w:eastAsia="微软简仿宋"/>
          <w:color w:val="000000"/>
          <w:szCs w:val="21"/>
        </w:rPr>
        <w:t>风险揭示书等</w:t>
      </w:r>
      <w:r>
        <w:rPr>
          <w:rFonts w:ascii="微软简仿宋" w:eastAsia="微软简仿宋" w:hint="eastAsia"/>
          <w:color w:val="000000"/>
          <w:szCs w:val="21"/>
        </w:rPr>
        <w:t>理财</w:t>
      </w:r>
      <w:r>
        <w:rPr>
          <w:rFonts w:ascii="微软简仿宋" w:eastAsia="微软简仿宋"/>
          <w:color w:val="000000"/>
          <w:szCs w:val="21"/>
        </w:rPr>
        <w:t>产品销售文件</w:t>
      </w:r>
      <w:r>
        <w:rPr>
          <w:rFonts w:ascii="微软简仿宋" w:eastAsia="微软简仿宋" w:hint="eastAsia"/>
          <w:color w:val="000000"/>
          <w:szCs w:val="21"/>
        </w:rPr>
        <w:t>约定的投资策略、风险承担和收益分配方式，对</w:t>
      </w:r>
      <w:r>
        <w:rPr>
          <w:rFonts w:ascii="微软简仿宋" w:eastAsia="微软简仿宋"/>
          <w:color w:val="000000"/>
          <w:szCs w:val="21"/>
        </w:rPr>
        <w:t>甲方托付的</w:t>
      </w:r>
      <w:r>
        <w:rPr>
          <w:rFonts w:ascii="微软简仿宋" w:eastAsia="微软简仿宋" w:hint="eastAsia"/>
          <w:color w:val="000000"/>
          <w:szCs w:val="21"/>
        </w:rPr>
        <w:t>财产</w:t>
      </w:r>
      <w:r>
        <w:rPr>
          <w:rFonts w:ascii="微软简仿宋" w:eastAsia="微软简仿宋"/>
          <w:color w:val="000000"/>
          <w:szCs w:val="21"/>
        </w:rPr>
        <w:t>进行投资和管理</w:t>
      </w:r>
      <w:r>
        <w:rPr>
          <w:rFonts w:ascii="微软简仿宋" w:eastAsia="微软简仿宋" w:hint="eastAsia"/>
          <w:color w:val="000000"/>
          <w:szCs w:val="21"/>
        </w:rPr>
        <w:t>。乙方</w:t>
      </w:r>
      <w:r>
        <w:rPr>
          <w:rFonts w:ascii="微软简仿宋" w:eastAsia="微软简仿宋"/>
          <w:color w:val="000000"/>
          <w:szCs w:val="21"/>
        </w:rPr>
        <w:t>按照</w:t>
      </w:r>
      <w:r>
        <w:rPr>
          <w:rFonts w:ascii="微软简仿宋" w:eastAsia="微软简仿宋" w:hint="eastAsia"/>
          <w:color w:val="000000"/>
          <w:szCs w:val="21"/>
        </w:rPr>
        <w:t>理财</w:t>
      </w:r>
      <w:r>
        <w:rPr>
          <w:rFonts w:ascii="微软简仿宋" w:eastAsia="微软简仿宋"/>
          <w:color w:val="000000"/>
          <w:szCs w:val="21"/>
        </w:rPr>
        <w:t>产品销售文件约定</w:t>
      </w:r>
      <w:r>
        <w:rPr>
          <w:rFonts w:ascii="微软简仿宋" w:eastAsia="微软简仿宋" w:hint="eastAsia"/>
          <w:color w:val="000000"/>
          <w:szCs w:val="21"/>
        </w:rPr>
        <w:t>和</w:t>
      </w:r>
      <w:r>
        <w:rPr>
          <w:rFonts w:ascii="微软简仿宋" w:eastAsia="微软简仿宋"/>
          <w:color w:val="000000"/>
          <w:szCs w:val="21"/>
        </w:rPr>
        <w:t>实际投资收益向甲方支付收益，乙方不保证本金支付和收益水平。</w:t>
      </w:r>
      <w:r>
        <w:rPr>
          <w:rFonts w:ascii="微软简仿宋" w:eastAsia="微软简仿宋" w:hint="eastAsia"/>
          <w:color w:val="000000"/>
          <w:szCs w:val="21"/>
        </w:rPr>
        <w:t>为明确双方的权利义务，经平等协商签订本协议。</w:t>
      </w:r>
    </w:p>
    <w:p w14:paraId="33F2648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本协议与理财</w:t>
      </w:r>
      <w:r>
        <w:rPr>
          <w:rFonts w:ascii="微软简仿宋" w:eastAsia="微软简仿宋"/>
          <w:color w:val="000000"/>
          <w:szCs w:val="21"/>
        </w:rPr>
        <w:t>产品说明书、风险揭示书</w:t>
      </w:r>
      <w:r>
        <w:rPr>
          <w:rFonts w:ascii="微软简仿宋" w:eastAsia="微软简仿宋" w:hint="eastAsia"/>
          <w:color w:val="000000"/>
          <w:szCs w:val="21"/>
        </w:rPr>
        <w:t>、销售（代理销售）协议书、投资者权益须知</w:t>
      </w:r>
      <w:r>
        <w:rPr>
          <w:rFonts w:ascii="微软简仿宋" w:eastAsia="微软简仿宋"/>
          <w:color w:val="000000"/>
          <w:szCs w:val="21"/>
        </w:rPr>
        <w:t>及理财</w:t>
      </w:r>
      <w:r>
        <w:rPr>
          <w:rFonts w:ascii="微软简仿宋" w:eastAsia="微软简仿宋" w:hint="eastAsia"/>
          <w:color w:val="000000"/>
          <w:szCs w:val="21"/>
        </w:rPr>
        <w:t>产品</w:t>
      </w:r>
      <w:r>
        <w:rPr>
          <w:rFonts w:ascii="微软简仿宋" w:eastAsia="微软简仿宋"/>
          <w:color w:val="000000"/>
          <w:szCs w:val="21"/>
        </w:rPr>
        <w:t>销售机构</w:t>
      </w:r>
      <w:r>
        <w:rPr>
          <w:rFonts w:ascii="微软简仿宋" w:eastAsia="微软简仿宋" w:hint="eastAsia"/>
          <w:color w:val="000000"/>
          <w:szCs w:val="21"/>
        </w:rPr>
        <w:t>提供</w:t>
      </w:r>
      <w:r>
        <w:rPr>
          <w:rFonts w:ascii="微软简仿宋" w:eastAsia="微软简仿宋"/>
          <w:color w:val="000000"/>
          <w:szCs w:val="21"/>
        </w:rPr>
        <w:t>的其他理财产品</w:t>
      </w:r>
      <w:r>
        <w:rPr>
          <w:rFonts w:ascii="微软简仿宋" w:eastAsia="微软简仿宋" w:hint="eastAsia"/>
          <w:color w:val="000000"/>
          <w:szCs w:val="21"/>
        </w:rPr>
        <w:t>交易单据</w:t>
      </w:r>
      <w:r>
        <w:rPr>
          <w:rFonts w:ascii="微软简仿宋" w:eastAsia="微软简仿宋"/>
          <w:color w:val="000000"/>
          <w:szCs w:val="21"/>
        </w:rPr>
        <w:t>共同构成完整的</w:t>
      </w:r>
      <w:r>
        <w:rPr>
          <w:rFonts w:ascii="微软简仿宋" w:eastAsia="微软简仿宋" w:hint="eastAsia"/>
          <w:color w:val="000000"/>
          <w:szCs w:val="21"/>
        </w:rPr>
        <w:t>不可分割的理财销售文件，具有同等法律效力</w:t>
      </w:r>
      <w:r>
        <w:rPr>
          <w:rFonts w:ascii="微软简仿宋" w:eastAsia="微软简仿宋"/>
          <w:color w:val="000000"/>
          <w:szCs w:val="21"/>
        </w:rPr>
        <w:t>。本协议</w:t>
      </w:r>
      <w:r>
        <w:rPr>
          <w:rFonts w:ascii="微软简仿宋" w:eastAsia="微软简仿宋" w:hint="eastAsia"/>
          <w:color w:val="000000"/>
          <w:szCs w:val="21"/>
        </w:rPr>
        <w:t>与理财产品</w:t>
      </w:r>
      <w:r>
        <w:rPr>
          <w:rFonts w:ascii="微软简仿宋" w:eastAsia="微软简仿宋"/>
          <w:color w:val="000000"/>
          <w:szCs w:val="21"/>
        </w:rPr>
        <w:t>说明书</w:t>
      </w:r>
      <w:r>
        <w:rPr>
          <w:rFonts w:ascii="微软简仿宋" w:eastAsia="微软简仿宋" w:hint="eastAsia"/>
          <w:color w:val="000000"/>
          <w:szCs w:val="21"/>
        </w:rPr>
        <w:t>不一致的</w:t>
      </w:r>
      <w:r>
        <w:rPr>
          <w:rFonts w:ascii="微软简仿宋" w:eastAsia="微软简仿宋"/>
          <w:color w:val="000000"/>
          <w:szCs w:val="21"/>
        </w:rPr>
        <w:t>，以理财产品</w:t>
      </w:r>
      <w:r>
        <w:rPr>
          <w:rFonts w:ascii="微软简仿宋" w:eastAsia="微软简仿宋" w:hint="eastAsia"/>
          <w:color w:val="000000"/>
          <w:szCs w:val="21"/>
        </w:rPr>
        <w:t>说明书</w:t>
      </w:r>
      <w:r>
        <w:rPr>
          <w:rFonts w:ascii="微软简仿宋" w:eastAsia="微软简仿宋"/>
          <w:color w:val="000000"/>
          <w:szCs w:val="21"/>
        </w:rPr>
        <w:t>为准</w:t>
      </w:r>
      <w:r>
        <w:rPr>
          <w:rFonts w:ascii="微软简仿宋" w:eastAsia="微软简仿宋" w:hint="eastAsia"/>
          <w:color w:val="000000"/>
          <w:szCs w:val="21"/>
        </w:rPr>
        <w:t>；本协议未及事项，以理财产品说明书、风险揭示书、销售（代理销售）协议书等相关文件约定为准。</w:t>
      </w:r>
    </w:p>
    <w:p w14:paraId="75084757"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
          <w:color w:val="000000"/>
          <w:szCs w:val="21"/>
        </w:rPr>
        <w:t>理财非存款、产品有风险、投资须谨慎。</w:t>
      </w:r>
      <w:r>
        <w:rPr>
          <w:rFonts w:ascii="微软简仿宋" w:eastAsia="微软简仿宋" w:hint="eastAsia"/>
          <w:bCs/>
          <w:color w:val="000000"/>
          <w:szCs w:val="21"/>
        </w:rPr>
        <w:t>理财</w:t>
      </w:r>
      <w:r>
        <w:rPr>
          <w:rFonts w:ascii="微软简仿宋" w:eastAsia="微软简仿宋"/>
          <w:bCs/>
          <w:color w:val="000000"/>
          <w:szCs w:val="21"/>
        </w:rPr>
        <w:t>产品</w:t>
      </w:r>
      <w:r>
        <w:rPr>
          <w:rFonts w:ascii="微软简仿宋" w:eastAsia="微软简仿宋" w:hint="eastAsia"/>
          <w:bCs/>
          <w:color w:val="000000"/>
          <w:szCs w:val="21"/>
        </w:rPr>
        <w:t>销售</w:t>
      </w:r>
      <w:r>
        <w:rPr>
          <w:rFonts w:ascii="微软简仿宋" w:eastAsia="微软简仿宋"/>
          <w:bCs/>
          <w:color w:val="000000"/>
          <w:szCs w:val="21"/>
        </w:rPr>
        <w:t>、</w:t>
      </w:r>
      <w:r>
        <w:rPr>
          <w:rFonts w:ascii="微软简仿宋" w:eastAsia="微软简仿宋" w:hint="eastAsia"/>
          <w:bCs/>
          <w:color w:val="000000"/>
          <w:szCs w:val="21"/>
        </w:rPr>
        <w:t>投资</w:t>
      </w:r>
      <w:r>
        <w:rPr>
          <w:rFonts w:ascii="微软简仿宋" w:eastAsia="微软简仿宋"/>
          <w:bCs/>
          <w:color w:val="000000"/>
          <w:szCs w:val="21"/>
        </w:rPr>
        <w:t>运作过程中的</w:t>
      </w:r>
      <w:r>
        <w:rPr>
          <w:rFonts w:ascii="微软简仿宋" w:eastAsia="微软简仿宋" w:hint="eastAsia"/>
          <w:bCs/>
          <w:color w:val="000000"/>
          <w:szCs w:val="21"/>
        </w:rPr>
        <w:t>风险因素详见理财</w:t>
      </w:r>
      <w:r>
        <w:rPr>
          <w:rFonts w:ascii="微软简仿宋" w:eastAsia="微软简仿宋"/>
          <w:bCs/>
          <w:color w:val="000000"/>
          <w:szCs w:val="21"/>
        </w:rPr>
        <w:t>产品</w:t>
      </w:r>
      <w:r>
        <w:rPr>
          <w:rFonts w:ascii="微软简仿宋" w:eastAsia="微软简仿宋" w:hint="eastAsia"/>
          <w:bCs/>
          <w:color w:val="000000"/>
          <w:szCs w:val="21"/>
        </w:rPr>
        <w:t>说明书、</w:t>
      </w:r>
      <w:r>
        <w:rPr>
          <w:rFonts w:ascii="微软简仿宋" w:eastAsia="微软简仿宋"/>
          <w:bCs/>
          <w:color w:val="000000"/>
          <w:szCs w:val="21"/>
        </w:rPr>
        <w:t>风险揭示书</w:t>
      </w:r>
      <w:r>
        <w:rPr>
          <w:rFonts w:ascii="微软简仿宋" w:eastAsia="微软简仿宋" w:hint="eastAsia"/>
          <w:bCs/>
          <w:color w:val="000000"/>
          <w:szCs w:val="21"/>
        </w:rPr>
        <w:t>，甲方应仔细阅读产品说明书、风险揭示书详细条款并充分理解理财投资可能发生的风险。</w:t>
      </w:r>
    </w:p>
    <w:p w14:paraId="59A5D7CE" w14:textId="77777777" w:rsidR="0074532A" w:rsidRDefault="00000000">
      <w:pPr>
        <w:pStyle w:val="7063fc63"/>
        <w:adjustRightInd w:val="0"/>
        <w:snapToGrid w:val="0"/>
        <w:spacing w:line="360" w:lineRule="auto"/>
        <w:ind w:firstLineChars="200" w:firstLine="420"/>
        <w:outlineLvl w:val="0"/>
        <w:rPr>
          <w:rFonts w:ascii="微软简仿宋"/>
          <w:b/>
          <w:color w:val="000000"/>
          <w:szCs w:val="21"/>
        </w:rPr>
      </w:pPr>
      <w:r>
        <w:rPr>
          <w:rFonts w:ascii="微软简仿宋" w:eastAsia="微软简仿宋" w:hint="eastAsia"/>
          <w:b/>
          <w:color w:val="000000"/>
          <w:szCs w:val="21"/>
        </w:rPr>
        <w:t>一、声明与</w:t>
      </w:r>
      <w:r>
        <w:rPr>
          <w:rFonts w:ascii="微软简仿宋" w:eastAsia="微软简仿宋"/>
          <w:b/>
          <w:color w:val="000000"/>
          <w:szCs w:val="21"/>
        </w:rPr>
        <w:t>保证</w:t>
      </w:r>
    </w:p>
    <w:p w14:paraId="4A54D5C6"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（一）甲方</w:t>
      </w:r>
      <w:r>
        <w:rPr>
          <w:rFonts w:ascii="微软简仿宋" w:eastAsia="微软简仿宋"/>
          <w:bCs/>
          <w:color w:val="000000"/>
          <w:szCs w:val="21"/>
        </w:rPr>
        <w:t>声明：</w:t>
      </w:r>
    </w:p>
    <w:p w14:paraId="3399E1E6"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1．当</w:t>
      </w:r>
      <w:r>
        <w:rPr>
          <w:rFonts w:ascii="微软简仿宋" w:eastAsia="微软简仿宋"/>
          <w:bCs/>
          <w:color w:val="000000"/>
          <w:szCs w:val="21"/>
        </w:rPr>
        <w:t>甲方为非机构投资者时，</w:t>
      </w:r>
      <w:r>
        <w:rPr>
          <w:rFonts w:ascii="微软简仿宋" w:eastAsia="微软简仿宋" w:hint="eastAsia"/>
          <w:bCs/>
          <w:color w:val="000000"/>
          <w:szCs w:val="21"/>
        </w:rPr>
        <w:t>甲方声明具有完全民事行为能力，在签订本协议前已在</w:t>
      </w:r>
      <w:r>
        <w:rPr>
          <w:rFonts w:ascii="微软简仿宋" w:eastAsia="微软简仿宋"/>
          <w:bCs/>
          <w:color w:val="000000"/>
          <w:szCs w:val="21"/>
        </w:rPr>
        <w:t>理财产品销售机构</w:t>
      </w:r>
      <w:r>
        <w:rPr>
          <w:rFonts w:ascii="微软简仿宋" w:eastAsia="微软简仿宋" w:hint="eastAsia"/>
          <w:bCs/>
          <w:color w:val="000000"/>
          <w:szCs w:val="21"/>
        </w:rPr>
        <w:t>完成风险</w:t>
      </w:r>
      <w:r>
        <w:rPr>
          <w:rFonts w:ascii="微软简仿宋" w:eastAsia="微软简仿宋"/>
          <w:bCs/>
          <w:color w:val="000000"/>
          <w:szCs w:val="21"/>
        </w:rPr>
        <w:t>承受能力评估，</w:t>
      </w:r>
      <w:r>
        <w:rPr>
          <w:rFonts w:ascii="微软简仿宋" w:eastAsia="微软简仿宋" w:hint="eastAsia"/>
          <w:bCs/>
          <w:color w:val="000000"/>
          <w:szCs w:val="21"/>
        </w:rPr>
        <w:t>并获知理财</w:t>
      </w:r>
      <w:r>
        <w:rPr>
          <w:rFonts w:ascii="微软简仿宋" w:eastAsia="微软简仿宋"/>
          <w:bCs/>
          <w:color w:val="000000"/>
          <w:szCs w:val="21"/>
        </w:rPr>
        <w:t>产品销售机构</w:t>
      </w:r>
      <w:r>
        <w:rPr>
          <w:rFonts w:ascii="微软简仿宋" w:eastAsia="微软简仿宋" w:hint="eastAsia"/>
          <w:bCs/>
          <w:color w:val="000000"/>
          <w:szCs w:val="21"/>
        </w:rPr>
        <w:t>对甲方的风险承受能力评估结果，确认甲方本人的风险承受能力，完全理解拟</w:t>
      </w:r>
      <w:r>
        <w:rPr>
          <w:rFonts w:ascii="微软简仿宋" w:eastAsia="微软简仿宋"/>
          <w:bCs/>
          <w:color w:val="000000"/>
          <w:szCs w:val="21"/>
        </w:rPr>
        <w:t>投资理财</w:t>
      </w:r>
      <w:r>
        <w:rPr>
          <w:rFonts w:ascii="微软简仿宋" w:eastAsia="微软简仿宋" w:hint="eastAsia"/>
          <w:bCs/>
          <w:color w:val="000000"/>
          <w:szCs w:val="21"/>
        </w:rPr>
        <w:t>产品的基本信息和相应风险。</w:t>
      </w:r>
    </w:p>
    <w:p w14:paraId="317C0DA5"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2．甲方声明已阅知本协议，甲方已完全知晓并充分理解甲乙双方的权利、义务，充分理解理财投资的风险，接受并签署本协议及</w:t>
      </w:r>
      <w:r>
        <w:rPr>
          <w:rFonts w:ascii="微软简仿宋" w:eastAsia="微软简仿宋"/>
          <w:bCs/>
          <w:color w:val="000000"/>
          <w:szCs w:val="21"/>
        </w:rPr>
        <w:t>其他理财产品销售文件</w:t>
      </w:r>
      <w:r>
        <w:rPr>
          <w:rFonts w:ascii="微软简仿宋" w:eastAsia="微软简仿宋" w:hint="eastAsia"/>
          <w:bCs/>
          <w:color w:val="000000"/>
          <w:szCs w:val="21"/>
        </w:rPr>
        <w:t>。</w:t>
      </w:r>
    </w:p>
    <w:p w14:paraId="7F244BA7"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3</w:t>
      </w:r>
      <w:r>
        <w:rPr>
          <w:rFonts w:ascii="微软简仿宋" w:eastAsia="微软简仿宋" w:hint="eastAsia"/>
          <w:bCs/>
          <w:color w:val="000000"/>
          <w:szCs w:val="21"/>
        </w:rPr>
        <w:t>．</w:t>
      </w:r>
      <w:r>
        <w:rPr>
          <w:rFonts w:ascii="微软简仿宋" w:eastAsia="微软简仿宋" w:hint="eastAsia"/>
          <w:b/>
          <w:color w:val="000000"/>
          <w:szCs w:val="21"/>
        </w:rPr>
        <w:t>甲方声明，甲方的投资决策由甲方基于自身判断独立、自主、谨慎做出的，</w:t>
      </w:r>
      <w:r>
        <w:rPr>
          <w:rFonts w:ascii="微软简仿宋" w:eastAsia="微软简仿宋"/>
          <w:b/>
          <w:color w:val="000000"/>
          <w:szCs w:val="21"/>
        </w:rPr>
        <w:t>并已</w:t>
      </w:r>
      <w:r>
        <w:rPr>
          <w:rFonts w:ascii="微软简仿宋" w:eastAsia="微软简仿宋" w:hint="eastAsia"/>
          <w:b/>
          <w:color w:val="000000"/>
          <w:szCs w:val="21"/>
        </w:rPr>
        <w:t>知晓</w:t>
      </w:r>
      <w:r>
        <w:rPr>
          <w:rFonts w:ascii="微软简仿宋" w:eastAsia="微软简仿宋"/>
          <w:b/>
          <w:color w:val="000000"/>
          <w:szCs w:val="21"/>
        </w:rPr>
        <w:t>且能够承担</w:t>
      </w:r>
      <w:r>
        <w:rPr>
          <w:rFonts w:ascii="微软简仿宋" w:eastAsia="微软简仿宋" w:hint="eastAsia"/>
          <w:b/>
          <w:color w:val="000000"/>
          <w:szCs w:val="21"/>
        </w:rPr>
        <w:t>产品可能出现的各种风险，愿意并能承担风险。</w:t>
      </w:r>
    </w:p>
    <w:p w14:paraId="2E774845"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4．甲方若为非机构投资者，甲方声明以合法持有的自有资金购买乙方发行的理财产品。</w:t>
      </w:r>
    </w:p>
    <w:p w14:paraId="311C499F"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5．甲方若为机构投资者（含资产管理产品），甲方声明以合法持有的自有资金或合法募集资金购买乙方发行的理财产品。</w:t>
      </w:r>
    </w:p>
    <w:p w14:paraId="25412856"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6．甲方声明认可本协议及其他</w:t>
      </w:r>
      <w:r>
        <w:rPr>
          <w:rFonts w:ascii="微软简仿宋" w:eastAsia="微软简仿宋"/>
          <w:bCs/>
          <w:color w:val="000000"/>
          <w:szCs w:val="21"/>
        </w:rPr>
        <w:t>理财产品销售文件</w:t>
      </w:r>
      <w:r>
        <w:rPr>
          <w:rFonts w:ascii="微软简仿宋" w:eastAsia="微软简仿宋" w:hint="eastAsia"/>
          <w:bCs/>
          <w:color w:val="000000"/>
          <w:szCs w:val="21"/>
        </w:rPr>
        <w:t>约定的信息披露途径，已知悉甲方应注意查询的事项，并同意乙方按照本协议及</w:t>
      </w:r>
      <w:r>
        <w:rPr>
          <w:rFonts w:ascii="微软简仿宋" w:eastAsia="微软简仿宋"/>
          <w:bCs/>
          <w:color w:val="000000"/>
          <w:szCs w:val="21"/>
        </w:rPr>
        <w:t>理财产品销售文件</w:t>
      </w:r>
      <w:r>
        <w:rPr>
          <w:rFonts w:ascii="微软简仿宋" w:eastAsia="微软简仿宋" w:hint="eastAsia"/>
          <w:bCs/>
          <w:color w:val="000000"/>
          <w:szCs w:val="21"/>
        </w:rPr>
        <w:t>约定进行相关通知和信息披露。</w:t>
      </w:r>
    </w:p>
    <w:p w14:paraId="4FB54156"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7</w:t>
      </w:r>
      <w:r>
        <w:rPr>
          <w:rFonts w:ascii="微软简仿宋" w:eastAsia="微软简仿宋" w:hint="eastAsia"/>
          <w:bCs/>
          <w:color w:val="000000"/>
          <w:szCs w:val="21"/>
        </w:rPr>
        <w:t>．</w:t>
      </w:r>
      <w:r>
        <w:rPr>
          <w:rFonts w:ascii="微软简仿宋" w:eastAsia="微软简仿宋" w:hint="eastAsia"/>
          <w:b/>
          <w:color w:val="000000"/>
          <w:szCs w:val="21"/>
        </w:rPr>
        <w:t>甲方声明当甲方通过理财产品销售机构的网上银行、手机银行、APP等电子销售渠道购买理财产品时，甲方认可其在销售机构电子渠道点击确认同意的理财产品销售文件的合法有效性，认可电子签约与纸质签署具有同等效力。</w:t>
      </w:r>
    </w:p>
    <w:p w14:paraId="77984EC4"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8</w:t>
      </w:r>
      <w:r>
        <w:rPr>
          <w:rFonts w:ascii="微软简仿宋" w:eastAsia="微软简仿宋" w:hint="eastAsia"/>
          <w:bCs/>
          <w:color w:val="000000"/>
          <w:szCs w:val="21"/>
        </w:rPr>
        <w:t>．</w:t>
      </w:r>
      <w:r>
        <w:rPr>
          <w:rFonts w:ascii="微软简仿宋" w:eastAsia="微软简仿宋" w:hint="eastAsia"/>
          <w:b/>
          <w:color w:val="000000"/>
          <w:szCs w:val="21"/>
        </w:rPr>
        <w:t>甲方声明同意理财产品销售机构记录（记录方式包括但不限于录音、录像、录屏等）</w:t>
      </w:r>
      <w:r>
        <w:rPr>
          <w:rFonts w:ascii="微软简仿宋" w:eastAsia="微软简仿宋" w:hint="eastAsia"/>
          <w:b/>
          <w:color w:val="000000"/>
          <w:szCs w:val="21"/>
        </w:rPr>
        <w:lastRenderedPageBreak/>
        <w:t>甲方操作行为（包括但不限于购买、赎回、撤单、修改分红方式等业务），并确认以上记录在双方发生争议时可作为合法有效的证据使用。</w:t>
      </w:r>
    </w:p>
    <w:p w14:paraId="29129CD5"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（二）乙方声明与保证：</w:t>
      </w:r>
    </w:p>
    <w:p w14:paraId="4A1752F2"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hint="eastAsia"/>
          <w:bCs/>
          <w:color w:val="000000"/>
          <w:szCs w:val="21"/>
        </w:rPr>
        <w:t>乙方声明按照监管要求及理财产品说明书约定，恪尽职守、诚实信用、谨慎勤勉地管理理财</w:t>
      </w:r>
      <w:r>
        <w:rPr>
          <w:rFonts w:ascii="微软简仿宋" w:eastAsia="微软简仿宋"/>
          <w:bCs/>
          <w:color w:val="000000"/>
          <w:szCs w:val="21"/>
        </w:rPr>
        <w:t>产品</w:t>
      </w:r>
      <w:r>
        <w:rPr>
          <w:rFonts w:ascii="微软简仿宋" w:eastAsia="微软简仿宋" w:hint="eastAsia"/>
          <w:bCs/>
          <w:color w:val="000000"/>
          <w:szCs w:val="21"/>
        </w:rPr>
        <w:t>，但不保证理财</w:t>
      </w:r>
      <w:r>
        <w:rPr>
          <w:rFonts w:ascii="微软简仿宋" w:eastAsia="微软简仿宋"/>
          <w:bCs/>
          <w:color w:val="000000"/>
          <w:szCs w:val="21"/>
        </w:rPr>
        <w:t>产品</w:t>
      </w:r>
      <w:r>
        <w:rPr>
          <w:rFonts w:ascii="微软简仿宋" w:eastAsia="微软简仿宋" w:hint="eastAsia"/>
          <w:bCs/>
          <w:color w:val="000000"/>
          <w:szCs w:val="21"/>
        </w:rPr>
        <w:t>一定盈利或不会亏损，也不保证最低收益。</w:t>
      </w:r>
    </w:p>
    <w:p w14:paraId="7BD5F743"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二、名词释义</w:t>
      </w:r>
    </w:p>
    <w:p w14:paraId="5A7BAE0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理财产品：指由乙方按照理财</w:t>
      </w:r>
      <w:r>
        <w:rPr>
          <w:rFonts w:ascii="微软简仿宋" w:eastAsia="微软简仿宋"/>
          <w:color w:val="000000"/>
          <w:szCs w:val="21"/>
        </w:rPr>
        <w:t>产品销售文件</w:t>
      </w:r>
      <w:r>
        <w:rPr>
          <w:rFonts w:ascii="微软简仿宋" w:eastAsia="微软简仿宋" w:hint="eastAsia"/>
          <w:color w:val="000000"/>
          <w:szCs w:val="21"/>
        </w:rPr>
        <w:t>约定的条件和实际投资收益情况向投资者支付收益、不保证本金支付和收益水平的非保本理财产品。产品的具体细节详见理财产品说明书、</w:t>
      </w:r>
      <w:r>
        <w:rPr>
          <w:rFonts w:ascii="微软简仿宋" w:eastAsia="微软简仿宋"/>
          <w:color w:val="000000"/>
          <w:szCs w:val="21"/>
        </w:rPr>
        <w:t>风险</w:t>
      </w:r>
      <w:r>
        <w:rPr>
          <w:rFonts w:ascii="微软简仿宋" w:eastAsia="微软简仿宋" w:hint="eastAsia"/>
          <w:color w:val="000000"/>
          <w:szCs w:val="21"/>
        </w:rPr>
        <w:t>揭示书</w:t>
      </w:r>
      <w:r>
        <w:rPr>
          <w:rFonts w:ascii="微软简仿宋" w:eastAsia="微软简仿宋"/>
          <w:color w:val="000000"/>
          <w:szCs w:val="21"/>
        </w:rPr>
        <w:t>、</w:t>
      </w:r>
      <w:r>
        <w:rPr>
          <w:rFonts w:ascii="微软简仿宋" w:eastAsia="微软简仿宋" w:hint="eastAsia"/>
          <w:color w:val="000000"/>
          <w:szCs w:val="21"/>
        </w:rPr>
        <w:t>投资者</w:t>
      </w:r>
      <w:r>
        <w:rPr>
          <w:rFonts w:ascii="微软简仿宋" w:eastAsia="微软简仿宋"/>
          <w:color w:val="000000"/>
          <w:szCs w:val="21"/>
        </w:rPr>
        <w:t>权益须知</w:t>
      </w:r>
      <w:r>
        <w:rPr>
          <w:rFonts w:ascii="微软简仿宋" w:eastAsia="微软简仿宋" w:hint="eastAsia"/>
          <w:color w:val="000000"/>
          <w:szCs w:val="21"/>
        </w:rPr>
        <w:t>。</w:t>
      </w:r>
    </w:p>
    <w:p w14:paraId="55CF9FD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公募理财产品：根据募集方式不同，将理财产品分为公募理财产品和私募理财产品。公募理财产品指面向不特定社会公众公开发行的理财产品。</w:t>
      </w:r>
    </w:p>
    <w:p w14:paraId="19344437"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私募理财产品：根据募集方式不同，将理财产品分为公募理财产品和私募理财产品。私募理财产品指面向合格投资者非公开发行的理财产品。</w:t>
      </w:r>
    </w:p>
    <w:p w14:paraId="0529B98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合格投资者：合格投资者是指具备相应风险识别能力和风险承受能力，投资于单只理财产品不低于一定金额且符合下列条件的自然人、法人或者依法成立的其他组织：</w:t>
      </w:r>
    </w:p>
    <w:p w14:paraId="2CBFA88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（1）具有2年以上投资经历，且满足家庭金融净资产不低于300万元人民币，或者家庭金融资产不低于500万元人民币，或者近3年本人年均收入不低于40万元人民币；</w:t>
      </w:r>
    </w:p>
    <w:p w14:paraId="4FB0B16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（2）最近1年末净资产不低于1000万元人民币的法人或者依法成立的其他组织；</w:t>
      </w:r>
    </w:p>
    <w:p w14:paraId="4893D53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（3）国务院银行业监督管理机构规定的其他情形。</w:t>
      </w:r>
    </w:p>
    <w:p w14:paraId="6A67ED1B"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．协议的当事人：包括理财</w:t>
      </w:r>
      <w:r>
        <w:rPr>
          <w:rFonts w:ascii="微软简仿宋" w:eastAsia="微软简仿宋"/>
          <w:bCs/>
          <w:color w:val="000000"/>
          <w:szCs w:val="21"/>
        </w:rPr>
        <w:t>产品</w:t>
      </w:r>
      <w:r>
        <w:rPr>
          <w:rFonts w:ascii="微软简仿宋" w:eastAsia="微软简仿宋" w:hint="eastAsia"/>
          <w:bCs/>
          <w:color w:val="000000"/>
          <w:szCs w:val="21"/>
        </w:rPr>
        <w:t>管理人和理财</w:t>
      </w:r>
      <w:r>
        <w:rPr>
          <w:rFonts w:ascii="微软简仿宋" w:eastAsia="微软简仿宋"/>
          <w:bCs/>
          <w:color w:val="000000"/>
          <w:szCs w:val="21"/>
        </w:rPr>
        <w:t>产品</w:t>
      </w:r>
      <w:r>
        <w:rPr>
          <w:rFonts w:ascii="微软简仿宋" w:eastAsia="微软简仿宋" w:hint="eastAsia"/>
          <w:bCs/>
          <w:color w:val="000000"/>
          <w:szCs w:val="21"/>
        </w:rPr>
        <w:t>投资者。</w:t>
      </w:r>
    </w:p>
    <w:p w14:paraId="3000194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理财产品管理人或产品管理人或</w:t>
      </w:r>
      <w:r>
        <w:rPr>
          <w:rFonts w:ascii="微软简仿宋" w:eastAsia="微软简仿宋"/>
          <w:color w:val="000000"/>
          <w:szCs w:val="21"/>
        </w:rPr>
        <w:t>乙方</w:t>
      </w:r>
      <w:r>
        <w:rPr>
          <w:rFonts w:ascii="微软简仿宋" w:eastAsia="微软简仿宋" w:hint="eastAsia"/>
          <w:color w:val="000000"/>
          <w:szCs w:val="21"/>
        </w:rPr>
        <w:t>：指华夏理财有限责任公司。</w:t>
      </w:r>
    </w:p>
    <w:p w14:paraId="0ED56A1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投资者或</w:t>
      </w:r>
      <w:r>
        <w:rPr>
          <w:rFonts w:ascii="微软简仿宋" w:eastAsia="微软简仿宋"/>
          <w:color w:val="000000"/>
          <w:szCs w:val="21"/>
        </w:rPr>
        <w:t>甲方：指理财产品投资者</w:t>
      </w:r>
      <w:r>
        <w:rPr>
          <w:rFonts w:ascii="微软简仿宋" w:eastAsia="微软简仿宋" w:hint="eastAsia"/>
          <w:color w:val="000000"/>
          <w:szCs w:val="21"/>
        </w:rPr>
        <w:t>。</w:t>
      </w:r>
    </w:p>
    <w:p w14:paraId="2C52E266" w14:textId="77777777" w:rsidR="0074532A" w:rsidRDefault="00000000">
      <w:pPr>
        <w:pStyle w:val="7063fc63"/>
        <w:adjustRightInd w:val="0"/>
        <w:snapToGrid w:val="0"/>
        <w:spacing w:line="360" w:lineRule="auto"/>
        <w:ind w:firstLineChars="200" w:firstLine="420"/>
        <w:rPr>
          <w:rFonts w:ascii="Cambria" w:eastAsia="微软简仿宋" w:hAnsi="Cambria"/>
          <w:color w:val="000000"/>
          <w:szCs w:val="21"/>
        </w:rPr>
      </w:pPr>
      <w:r>
        <w:rPr>
          <w:rFonts w:ascii="微软简仿宋" w:eastAsia="微软简仿宋" w:hint="eastAsia"/>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托管人</w:t>
      </w:r>
      <w:r>
        <w:rPr>
          <w:rFonts w:ascii="微软简仿宋" w:eastAsia="微软简仿宋"/>
          <w:color w:val="000000"/>
          <w:szCs w:val="21"/>
        </w:rPr>
        <w:t>：</w:t>
      </w:r>
      <w:r>
        <w:rPr>
          <w:rFonts w:ascii="Cambria" w:eastAsia="微软简仿宋" w:hAnsi="Cambria" w:hint="eastAsia"/>
          <w:color w:val="000000"/>
          <w:szCs w:val="21"/>
        </w:rPr>
        <w:t>指乙方</w:t>
      </w:r>
      <w:r>
        <w:rPr>
          <w:rFonts w:ascii="Cambria" w:eastAsia="微软简仿宋" w:hAnsi="Cambria"/>
          <w:color w:val="000000"/>
          <w:szCs w:val="21"/>
        </w:rPr>
        <w:t>选定</w:t>
      </w:r>
      <w:r>
        <w:rPr>
          <w:rFonts w:ascii="Cambria" w:eastAsia="微软简仿宋" w:hAnsi="Cambria" w:hint="eastAsia"/>
          <w:color w:val="000000"/>
          <w:szCs w:val="21"/>
        </w:rPr>
        <w:t>的</w:t>
      </w:r>
      <w:r>
        <w:rPr>
          <w:rFonts w:ascii="Cambria" w:eastAsia="微软简仿宋" w:hAnsi="Cambria"/>
          <w:color w:val="000000"/>
          <w:szCs w:val="21"/>
        </w:rPr>
        <w:t>托管机构。具体</w:t>
      </w:r>
      <w:r>
        <w:rPr>
          <w:rFonts w:ascii="Cambria" w:eastAsia="微软简仿宋" w:hAnsi="Cambria" w:hint="eastAsia"/>
          <w:color w:val="000000"/>
          <w:szCs w:val="21"/>
        </w:rPr>
        <w:t>托管</w:t>
      </w:r>
      <w:r>
        <w:rPr>
          <w:rFonts w:ascii="Cambria" w:eastAsia="微软简仿宋" w:hAnsi="Cambria"/>
          <w:color w:val="000000"/>
          <w:szCs w:val="21"/>
        </w:rPr>
        <w:t>机构名称、托管费</w:t>
      </w:r>
      <w:r>
        <w:rPr>
          <w:rFonts w:ascii="Cambria" w:eastAsia="微软简仿宋" w:hAnsi="Cambria" w:hint="eastAsia"/>
          <w:color w:val="000000"/>
          <w:szCs w:val="21"/>
        </w:rPr>
        <w:t>以及</w:t>
      </w:r>
      <w:r>
        <w:rPr>
          <w:rFonts w:ascii="Cambria" w:eastAsia="微软简仿宋" w:hAnsi="Cambria"/>
          <w:color w:val="000000"/>
          <w:szCs w:val="21"/>
        </w:rPr>
        <w:t>其他事项以</w:t>
      </w:r>
      <w:r>
        <w:rPr>
          <w:rFonts w:ascii="微软简仿宋" w:eastAsia="微软简仿宋" w:hint="eastAsia"/>
          <w:color w:val="000000"/>
          <w:szCs w:val="21"/>
        </w:rPr>
        <w:t>理财产品说明书约定</w:t>
      </w:r>
      <w:r>
        <w:rPr>
          <w:rFonts w:ascii="Cambria" w:eastAsia="微软简仿宋" w:hAnsi="Cambria"/>
          <w:color w:val="000000"/>
          <w:szCs w:val="21"/>
        </w:rPr>
        <w:t>为准。</w:t>
      </w:r>
    </w:p>
    <w:p w14:paraId="02C41CD4" w14:textId="77777777" w:rsidR="0074532A" w:rsidRDefault="00000000">
      <w:pPr>
        <w:pStyle w:val="7063fc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9</w:t>
      </w:r>
      <w:r>
        <w:rPr>
          <w:rFonts w:ascii="微软简仿宋" w:eastAsia="微软简仿宋" w:hint="eastAsia"/>
          <w:bCs/>
          <w:color w:val="000000"/>
          <w:szCs w:val="21"/>
        </w:rPr>
        <w:t>．</w:t>
      </w:r>
      <w:r>
        <w:rPr>
          <w:rFonts w:ascii="Cambria" w:eastAsia="微软简仿宋" w:hAnsi="Cambria" w:hint="eastAsia"/>
          <w:color w:val="000000"/>
          <w:szCs w:val="21"/>
        </w:rPr>
        <w:t>理财</w:t>
      </w:r>
      <w:r>
        <w:rPr>
          <w:rFonts w:ascii="Cambria" w:eastAsia="微软简仿宋" w:hAnsi="Cambria"/>
          <w:color w:val="000000"/>
          <w:szCs w:val="21"/>
        </w:rPr>
        <w:t>产品</w:t>
      </w:r>
      <w:r>
        <w:rPr>
          <w:rFonts w:ascii="Cambria" w:eastAsia="微软简仿宋" w:hAnsi="Cambria" w:hint="eastAsia"/>
          <w:color w:val="000000"/>
          <w:szCs w:val="21"/>
        </w:rPr>
        <w:t>销售机构或</w:t>
      </w:r>
      <w:r>
        <w:rPr>
          <w:rFonts w:ascii="Cambria" w:eastAsia="微软简仿宋" w:hAnsi="Cambria"/>
          <w:color w:val="000000"/>
          <w:szCs w:val="21"/>
        </w:rPr>
        <w:t>销售机构</w:t>
      </w:r>
      <w:r>
        <w:rPr>
          <w:rFonts w:ascii="Cambria" w:eastAsia="微软简仿宋" w:hAnsi="Cambria" w:hint="eastAsia"/>
          <w:color w:val="000000"/>
          <w:szCs w:val="21"/>
        </w:rPr>
        <w:t>：包括</w:t>
      </w:r>
      <w:r>
        <w:rPr>
          <w:rFonts w:ascii="Cambria" w:eastAsia="微软简仿宋" w:hAnsi="Cambria"/>
          <w:color w:val="000000"/>
          <w:szCs w:val="21"/>
        </w:rPr>
        <w:t>乙方及乙方委托的</w:t>
      </w:r>
      <w:r>
        <w:rPr>
          <w:rFonts w:ascii="Cambria" w:eastAsia="微软简仿宋" w:hAnsi="Cambria" w:hint="eastAsia"/>
          <w:color w:val="000000"/>
          <w:szCs w:val="21"/>
        </w:rPr>
        <w:t>理财产品代理</w:t>
      </w:r>
      <w:r>
        <w:rPr>
          <w:rFonts w:ascii="Cambria" w:eastAsia="微软简仿宋" w:hAnsi="Cambria"/>
          <w:color w:val="000000"/>
          <w:szCs w:val="21"/>
        </w:rPr>
        <w:t>销售机构。具体</w:t>
      </w:r>
      <w:r>
        <w:rPr>
          <w:rFonts w:ascii="Cambria" w:eastAsia="微软简仿宋" w:hAnsi="Cambria" w:hint="eastAsia"/>
          <w:color w:val="000000"/>
          <w:szCs w:val="21"/>
        </w:rPr>
        <w:t>销售</w:t>
      </w:r>
      <w:r>
        <w:rPr>
          <w:rFonts w:ascii="Cambria" w:eastAsia="微软简仿宋" w:hAnsi="Cambria"/>
          <w:color w:val="000000"/>
          <w:szCs w:val="21"/>
        </w:rPr>
        <w:t>机构名称、</w:t>
      </w:r>
      <w:r>
        <w:rPr>
          <w:rFonts w:ascii="Cambria" w:eastAsia="微软简仿宋" w:hAnsi="Cambria" w:hint="eastAsia"/>
          <w:color w:val="000000"/>
          <w:szCs w:val="21"/>
        </w:rPr>
        <w:t>销售</w:t>
      </w:r>
      <w:r>
        <w:rPr>
          <w:rFonts w:ascii="Cambria" w:eastAsia="微软简仿宋" w:hAnsi="Cambria"/>
          <w:color w:val="000000"/>
          <w:szCs w:val="21"/>
        </w:rPr>
        <w:t>费</w:t>
      </w:r>
      <w:r>
        <w:rPr>
          <w:rFonts w:ascii="Cambria" w:eastAsia="微软简仿宋" w:hAnsi="Cambria" w:hint="eastAsia"/>
          <w:color w:val="000000"/>
          <w:szCs w:val="21"/>
        </w:rPr>
        <w:t>率以及</w:t>
      </w:r>
      <w:r>
        <w:rPr>
          <w:rFonts w:ascii="Cambria" w:eastAsia="微软简仿宋" w:hAnsi="Cambria"/>
          <w:color w:val="000000"/>
          <w:szCs w:val="21"/>
        </w:rPr>
        <w:t>其他事项以</w:t>
      </w:r>
      <w:r>
        <w:rPr>
          <w:rFonts w:ascii="Cambria" w:eastAsia="微软简仿宋" w:hAnsi="Cambria" w:hint="eastAsia"/>
          <w:color w:val="000000"/>
          <w:szCs w:val="21"/>
        </w:rPr>
        <w:t>销售（代理销售）协议书、</w:t>
      </w:r>
      <w:r>
        <w:rPr>
          <w:rFonts w:ascii="Cambria" w:eastAsia="微软简仿宋" w:hAnsi="Cambria"/>
          <w:color w:val="000000"/>
          <w:szCs w:val="21"/>
        </w:rPr>
        <w:t>理财产品说明书以及</w:t>
      </w:r>
      <w:r>
        <w:rPr>
          <w:rFonts w:ascii="Cambria" w:eastAsia="微软简仿宋" w:hAnsi="Cambria"/>
          <w:color w:val="000000"/>
          <w:szCs w:val="21"/>
        </w:rPr>
        <w:lastRenderedPageBreak/>
        <w:t>乙方最新公告</w:t>
      </w:r>
      <w:r>
        <w:rPr>
          <w:rFonts w:ascii="Cambria" w:eastAsia="微软简仿宋" w:hAnsi="Cambria" w:hint="eastAsia"/>
          <w:color w:val="000000"/>
          <w:szCs w:val="21"/>
        </w:rPr>
        <w:t>约定</w:t>
      </w:r>
      <w:r>
        <w:rPr>
          <w:rFonts w:ascii="Cambria" w:eastAsia="微软简仿宋" w:hAnsi="Cambria"/>
          <w:color w:val="000000"/>
          <w:szCs w:val="21"/>
        </w:rPr>
        <w:t>为准。</w:t>
      </w:r>
    </w:p>
    <w:p w14:paraId="3892A637" w14:textId="77777777" w:rsidR="0074532A" w:rsidRDefault="00000000">
      <w:pPr>
        <w:pStyle w:val="7063fc63"/>
        <w:numPr>
          <w:ins w:id="0" w:author="张晓华" w:date="2021-07-12T10:45:00Z"/>
        </w:numPr>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10</w:t>
      </w:r>
      <w:r>
        <w:rPr>
          <w:rFonts w:ascii="微软简仿宋" w:eastAsia="微软简仿宋" w:hint="eastAsia"/>
          <w:bCs/>
          <w:color w:val="000000"/>
          <w:szCs w:val="21"/>
        </w:rPr>
        <w:t>．</w:t>
      </w:r>
      <w:r>
        <w:rPr>
          <w:rFonts w:ascii="Cambria" w:eastAsia="微软简仿宋" w:hAnsi="Cambria" w:hint="eastAsia"/>
          <w:color w:val="000000"/>
          <w:szCs w:val="21"/>
        </w:rPr>
        <w:t>代理</w:t>
      </w:r>
      <w:r>
        <w:rPr>
          <w:rFonts w:ascii="Cambria" w:eastAsia="微软简仿宋" w:hAnsi="Cambria"/>
          <w:color w:val="000000"/>
          <w:szCs w:val="21"/>
        </w:rPr>
        <w:t>销售</w:t>
      </w:r>
      <w:r>
        <w:rPr>
          <w:rFonts w:ascii="Cambria" w:eastAsia="微软简仿宋" w:hAnsi="Cambria" w:hint="eastAsia"/>
          <w:color w:val="000000"/>
          <w:szCs w:val="21"/>
        </w:rPr>
        <w:t>机构</w:t>
      </w:r>
      <w:r>
        <w:rPr>
          <w:rFonts w:ascii="Cambria" w:eastAsia="微软简仿宋" w:hAnsi="Cambria"/>
          <w:color w:val="000000"/>
          <w:szCs w:val="21"/>
        </w:rPr>
        <w:t>或</w:t>
      </w:r>
      <w:r>
        <w:rPr>
          <w:rFonts w:ascii="Cambria" w:eastAsia="微软简仿宋" w:hAnsi="Cambria" w:hint="eastAsia"/>
          <w:color w:val="000000"/>
          <w:szCs w:val="21"/>
        </w:rPr>
        <w:t>代</w:t>
      </w:r>
      <w:r>
        <w:rPr>
          <w:rFonts w:ascii="Cambria" w:eastAsia="微软简仿宋" w:hAnsi="Cambria"/>
          <w:color w:val="000000"/>
          <w:szCs w:val="21"/>
        </w:rPr>
        <w:t>销机构</w:t>
      </w:r>
      <w:r>
        <w:rPr>
          <w:rFonts w:ascii="Cambria" w:eastAsia="微软简仿宋" w:hAnsi="Cambria" w:hint="eastAsia"/>
          <w:color w:val="000000"/>
          <w:szCs w:val="21"/>
        </w:rPr>
        <w:t>：接受乙方委托销售其发行的理财产品的代理销售机构，包括其他理财公司，商业银行、农村合作银行、村镇银行、农村信用合作社等吸收公众存款的银行业金融机构，以及银保监会规定的其他机构。</w:t>
      </w:r>
    </w:p>
    <w:p w14:paraId="6CFF6479" w14:textId="77777777" w:rsidR="0074532A" w:rsidRDefault="00000000">
      <w:pPr>
        <w:pStyle w:val="7063fc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11</w:t>
      </w:r>
      <w:r>
        <w:rPr>
          <w:rFonts w:ascii="微软简仿宋" w:eastAsia="微软简仿宋" w:hint="eastAsia"/>
          <w:bCs/>
          <w:color w:val="000000"/>
          <w:szCs w:val="21"/>
        </w:rPr>
        <w:t>．</w:t>
      </w:r>
      <w:r>
        <w:rPr>
          <w:rFonts w:ascii="Cambria" w:eastAsia="微软简仿宋" w:hAnsi="Cambria" w:hint="eastAsia"/>
          <w:color w:val="000000"/>
          <w:szCs w:val="21"/>
        </w:rPr>
        <w:t>理财投资合作机构：包括但不限于乙方</w:t>
      </w:r>
      <w:r>
        <w:rPr>
          <w:rFonts w:ascii="Cambria" w:eastAsia="微软简仿宋" w:hAnsi="Cambria"/>
          <w:color w:val="000000"/>
          <w:szCs w:val="21"/>
        </w:rPr>
        <w:t>发行</w:t>
      </w:r>
      <w:r>
        <w:rPr>
          <w:rFonts w:ascii="Cambria" w:eastAsia="微软简仿宋" w:hAnsi="Cambria" w:hint="eastAsia"/>
          <w:color w:val="000000"/>
          <w:szCs w:val="21"/>
        </w:rPr>
        <w:t>理财产品所投资资产管理产品的发行机构、根据合同约定从事理财产品受托投资的机构以及与理财产品投资管理相关的投资顾问等。</w:t>
      </w:r>
    </w:p>
    <w:p w14:paraId="1CBE544B" w14:textId="77777777" w:rsidR="0074532A" w:rsidRDefault="00000000">
      <w:pPr>
        <w:pStyle w:val="7063fc63"/>
        <w:adjustRightInd w:val="0"/>
        <w:snapToGrid w:val="0"/>
        <w:spacing w:line="360" w:lineRule="auto"/>
        <w:ind w:firstLineChars="200" w:firstLine="420"/>
        <w:rPr>
          <w:rFonts w:ascii="Cambria" w:eastAsia="微软简仿宋" w:hAnsi="Cambria"/>
          <w:color w:val="000000"/>
          <w:szCs w:val="21"/>
        </w:rPr>
      </w:pPr>
      <w:r>
        <w:rPr>
          <w:rFonts w:ascii="Cambria" w:eastAsia="微软简仿宋" w:hAnsi="Cambria" w:hint="eastAsia"/>
          <w:color w:val="000000"/>
          <w:szCs w:val="21"/>
        </w:rPr>
        <w:t>12</w:t>
      </w:r>
      <w:r>
        <w:rPr>
          <w:rFonts w:ascii="微软简仿宋" w:eastAsia="微软简仿宋" w:hint="eastAsia"/>
          <w:bCs/>
          <w:color w:val="000000"/>
          <w:szCs w:val="21"/>
        </w:rPr>
        <w:t>．</w:t>
      </w:r>
      <w:r>
        <w:rPr>
          <w:rFonts w:ascii="Cambria" w:eastAsia="微软简仿宋" w:hAnsi="Cambria" w:hint="eastAsia"/>
          <w:color w:val="000000"/>
          <w:szCs w:val="21"/>
        </w:rPr>
        <w:t>理财产品宣传推介材料：指理财产品销售机构为宣传推介理财产品向投资者分发或者发布，使投资者可以获得的文字、图片、音频、视频以及其他形式的信息。</w:t>
      </w:r>
    </w:p>
    <w:p w14:paraId="4CB48F19" w14:textId="77777777" w:rsidR="0074532A" w:rsidRDefault="00000000">
      <w:pPr>
        <w:pStyle w:val="7063fc63"/>
        <w:widowControl/>
        <w:spacing w:line="360" w:lineRule="auto"/>
        <w:ind w:firstLineChars="200" w:firstLine="420"/>
        <w:jc w:val="left"/>
        <w:rPr>
          <w:rFonts w:ascii="Cambria" w:eastAsia="微软简仿宋" w:hAnsi="Cambria"/>
          <w:color w:val="000000"/>
          <w:szCs w:val="21"/>
        </w:rPr>
      </w:pPr>
      <w:r>
        <w:rPr>
          <w:rFonts w:ascii="Cambria" w:eastAsia="微软简仿宋" w:hAnsi="Cambria"/>
          <w:color w:val="000000"/>
          <w:szCs w:val="21"/>
        </w:rPr>
        <w:t>1</w:t>
      </w:r>
      <w:r>
        <w:rPr>
          <w:rFonts w:ascii="Cambria" w:eastAsia="微软简仿宋" w:hAnsi="Cambria" w:hint="eastAsia"/>
          <w:color w:val="000000"/>
          <w:szCs w:val="21"/>
        </w:rPr>
        <w:t>3</w:t>
      </w:r>
      <w:r>
        <w:rPr>
          <w:rFonts w:ascii="微软简仿宋" w:eastAsia="微软简仿宋" w:hint="eastAsia"/>
          <w:bCs/>
          <w:color w:val="000000"/>
          <w:szCs w:val="21"/>
        </w:rPr>
        <w:t>．</w:t>
      </w:r>
      <w:r>
        <w:rPr>
          <w:rFonts w:ascii="Cambria" w:eastAsia="微软简仿宋" w:hAnsi="Cambria" w:hint="eastAsia"/>
          <w:color w:val="000000"/>
          <w:szCs w:val="21"/>
        </w:rPr>
        <w:t>理财产品销售文件：包括理财产品投资协议书（即本协议）、销售（代理销售）协议书、理财产品说明书、风险揭示书、投资者权益须知</w:t>
      </w:r>
      <w:r>
        <w:rPr>
          <w:rFonts w:ascii="微软简仿宋" w:eastAsia="微软简仿宋" w:hint="eastAsia"/>
          <w:color w:val="000000"/>
          <w:szCs w:val="21"/>
        </w:rPr>
        <w:t>以及后续对</w:t>
      </w:r>
      <w:r>
        <w:rPr>
          <w:rFonts w:ascii="微软简仿宋" w:eastAsia="微软简仿宋"/>
          <w:color w:val="000000"/>
          <w:szCs w:val="21"/>
        </w:rPr>
        <w:t>上述文件的</w:t>
      </w:r>
      <w:r>
        <w:rPr>
          <w:rFonts w:ascii="微软简仿宋" w:eastAsia="微软简仿宋" w:hint="eastAsia"/>
          <w:color w:val="000000"/>
          <w:szCs w:val="21"/>
        </w:rPr>
        <w:t>有效修订及补充；</w:t>
      </w:r>
      <w:r>
        <w:rPr>
          <w:rFonts w:ascii="Cambria" w:eastAsia="微软简仿宋" w:hAnsi="Cambria" w:hint="eastAsia"/>
          <w:color w:val="000000"/>
          <w:szCs w:val="21"/>
        </w:rPr>
        <w:t>销售机构提供的经投资</w:t>
      </w:r>
      <w:r>
        <w:rPr>
          <w:rFonts w:ascii="Cambria" w:eastAsia="微软简仿宋" w:hAnsi="Cambria"/>
          <w:color w:val="000000"/>
          <w:szCs w:val="21"/>
        </w:rPr>
        <w:t>者</w:t>
      </w:r>
      <w:r>
        <w:rPr>
          <w:rFonts w:ascii="Cambria" w:eastAsia="微软简仿宋" w:hAnsi="Cambria" w:hint="eastAsia"/>
          <w:color w:val="000000"/>
          <w:szCs w:val="21"/>
        </w:rPr>
        <w:t>确认的交易申请单（如有）及回单（如有）为理财产品销售文件的有效构成。</w:t>
      </w:r>
    </w:p>
    <w:p w14:paraId="45E2815B"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本协议：指《华夏理财有限责任公司理财产品投资协议书》以及其后续有效的修订与补充。</w:t>
      </w:r>
    </w:p>
    <w:p w14:paraId="1D8960A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5</w:t>
      </w:r>
      <w:r>
        <w:rPr>
          <w:rFonts w:ascii="微软简仿宋" w:eastAsia="微软简仿宋" w:hint="eastAsia"/>
          <w:bCs/>
          <w:color w:val="000000"/>
          <w:szCs w:val="21"/>
        </w:rPr>
        <w:t>．理财</w:t>
      </w:r>
      <w:r>
        <w:rPr>
          <w:rFonts w:ascii="微软简仿宋" w:eastAsia="微软简仿宋" w:hint="eastAsia"/>
          <w:color w:val="000000"/>
          <w:szCs w:val="21"/>
        </w:rPr>
        <w:t>产品说明书或</w:t>
      </w:r>
      <w:r>
        <w:rPr>
          <w:rFonts w:ascii="微软简仿宋" w:eastAsia="微软简仿宋"/>
          <w:color w:val="000000"/>
          <w:szCs w:val="21"/>
        </w:rPr>
        <w:t>产品</w:t>
      </w:r>
      <w:r>
        <w:rPr>
          <w:rFonts w:ascii="微软简仿宋" w:eastAsia="微软简仿宋" w:hint="eastAsia"/>
          <w:color w:val="000000"/>
          <w:szCs w:val="21"/>
        </w:rPr>
        <w:t>说明书：指乙方公布的、旨在说明理财产品具体要素的产品说明及其更新。</w:t>
      </w:r>
    </w:p>
    <w:p w14:paraId="3A4D529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1</w:t>
      </w:r>
      <w:r>
        <w:rPr>
          <w:rFonts w:ascii="微软简仿宋" w:eastAsia="微软简仿宋" w:hint="eastAsia"/>
          <w:bCs/>
          <w:color w:val="000000"/>
          <w:szCs w:val="21"/>
        </w:rPr>
        <w:t>6．</w:t>
      </w:r>
      <w:r>
        <w:rPr>
          <w:rFonts w:ascii="微软简仿宋" w:eastAsia="微软简仿宋" w:hint="eastAsia"/>
          <w:color w:val="000000"/>
          <w:szCs w:val="21"/>
        </w:rPr>
        <w:t>约定信息披露途径：指理财产品说明书、销售（代理销售）协议书、</w:t>
      </w:r>
      <w:r>
        <w:rPr>
          <w:rFonts w:ascii="微软简仿宋" w:eastAsia="微软简仿宋"/>
          <w:color w:val="000000"/>
          <w:szCs w:val="21"/>
        </w:rPr>
        <w:t>投资者权益须知中约定的理财产品信息披露</w:t>
      </w:r>
      <w:r>
        <w:rPr>
          <w:rFonts w:ascii="微软简仿宋" w:eastAsia="微软简仿宋" w:hint="eastAsia"/>
          <w:color w:val="000000"/>
          <w:szCs w:val="21"/>
        </w:rPr>
        <w:t>渠道。</w:t>
      </w:r>
    </w:p>
    <w:p w14:paraId="43662A9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法律法规、监管规定：包括现行有效的法律、行政法规、部门规章和相关监管部门颁布的具有约束效力的规范性文件。</w:t>
      </w:r>
    </w:p>
    <w:p w14:paraId="417DDF57"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color w:val="000000"/>
          <w:szCs w:val="21"/>
        </w:rPr>
        <w:t>8</w:t>
      </w:r>
      <w:r>
        <w:rPr>
          <w:rFonts w:ascii="微软简仿宋" w:eastAsia="微软简仿宋" w:hint="eastAsia"/>
          <w:bCs/>
          <w:color w:val="000000"/>
          <w:szCs w:val="21"/>
        </w:rPr>
        <w:t>．理财</w:t>
      </w:r>
      <w:r>
        <w:rPr>
          <w:rFonts w:ascii="微软简仿宋" w:eastAsia="微软简仿宋" w:hint="eastAsia"/>
          <w:color w:val="000000"/>
          <w:szCs w:val="21"/>
        </w:rPr>
        <w:t>产品开放日：指投资</w:t>
      </w:r>
      <w:r>
        <w:rPr>
          <w:rFonts w:ascii="微软简仿宋" w:eastAsia="微软简仿宋"/>
          <w:color w:val="000000"/>
          <w:szCs w:val="21"/>
        </w:rPr>
        <w:t>者可以办理</w:t>
      </w:r>
      <w:r>
        <w:rPr>
          <w:rFonts w:ascii="微软简仿宋" w:eastAsia="微软简仿宋" w:hint="eastAsia"/>
          <w:color w:val="000000"/>
          <w:szCs w:val="21"/>
        </w:rPr>
        <w:t>理财产品申购、赎回等交易业务</w:t>
      </w:r>
      <w:r>
        <w:rPr>
          <w:rFonts w:ascii="微软简仿宋" w:eastAsia="微软简仿宋"/>
          <w:color w:val="000000"/>
          <w:szCs w:val="21"/>
        </w:rPr>
        <w:t>的日期</w:t>
      </w:r>
      <w:r>
        <w:rPr>
          <w:rFonts w:ascii="微软简仿宋" w:eastAsia="微软简仿宋" w:hint="eastAsia"/>
          <w:color w:val="000000"/>
          <w:szCs w:val="21"/>
        </w:rPr>
        <w:t>。具体开放日、交易时间以理财产品说明书、销售（代理销售）协议书约定为准。封闭式</w:t>
      </w:r>
      <w:r>
        <w:rPr>
          <w:rFonts w:ascii="微软简仿宋" w:eastAsia="微软简仿宋"/>
          <w:color w:val="000000"/>
          <w:szCs w:val="21"/>
        </w:rPr>
        <w:t>理财产品不设开放日。</w:t>
      </w:r>
    </w:p>
    <w:p w14:paraId="14EDF4AF"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19</w:t>
      </w:r>
      <w:r>
        <w:rPr>
          <w:rFonts w:ascii="微软简仿宋" w:eastAsia="微软简仿宋" w:hint="eastAsia"/>
          <w:bCs/>
          <w:color w:val="000000"/>
          <w:szCs w:val="21"/>
        </w:rPr>
        <w:t>．</w:t>
      </w:r>
      <w:r>
        <w:rPr>
          <w:rFonts w:ascii="微软简仿宋" w:eastAsia="微软简仿宋" w:hint="eastAsia"/>
          <w:color w:val="000000"/>
          <w:szCs w:val="21"/>
        </w:rPr>
        <w:t>认购：指</w:t>
      </w:r>
      <w:bookmarkStart w:id="1" w:name="_Hlk76309053"/>
      <w:r>
        <w:rPr>
          <w:rFonts w:ascii="微软简仿宋" w:eastAsia="微软简仿宋" w:hint="eastAsia"/>
          <w:color w:val="000000"/>
          <w:szCs w:val="21"/>
        </w:rPr>
        <w:t>投资者在</w:t>
      </w:r>
      <w:bookmarkEnd w:id="1"/>
      <w:r>
        <w:rPr>
          <w:rFonts w:ascii="微软简仿宋" w:eastAsia="微软简仿宋" w:hint="eastAsia"/>
          <w:color w:val="000000"/>
          <w:szCs w:val="21"/>
        </w:rPr>
        <w:t>发行/募集期内购买理财产品。</w:t>
      </w:r>
    </w:p>
    <w:p w14:paraId="07D09C85"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lastRenderedPageBreak/>
        <w:t>20</w:t>
      </w:r>
      <w:r>
        <w:rPr>
          <w:rFonts w:ascii="微软简仿宋" w:eastAsia="微软简仿宋" w:hint="eastAsia"/>
          <w:bCs/>
          <w:color w:val="000000"/>
          <w:szCs w:val="21"/>
        </w:rPr>
        <w:t>．</w:t>
      </w:r>
      <w:r>
        <w:rPr>
          <w:rFonts w:ascii="微软简仿宋" w:eastAsia="微软简仿宋" w:hint="eastAsia"/>
          <w:color w:val="000000"/>
          <w:szCs w:val="21"/>
        </w:rPr>
        <w:t>申购：指投资者在理财产品成立后的开放日购买理财产品。</w:t>
      </w:r>
    </w:p>
    <w:p w14:paraId="69113D9B"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21</w:t>
      </w:r>
      <w:r>
        <w:rPr>
          <w:rFonts w:ascii="微软简仿宋" w:eastAsia="微软简仿宋" w:hint="eastAsia"/>
          <w:bCs/>
          <w:color w:val="000000"/>
          <w:szCs w:val="21"/>
        </w:rPr>
        <w:t>．</w:t>
      </w:r>
      <w:r>
        <w:rPr>
          <w:rFonts w:ascii="微软简仿宋" w:eastAsia="微软简仿宋" w:hint="eastAsia"/>
          <w:color w:val="000000"/>
          <w:szCs w:val="21"/>
        </w:rPr>
        <w:t>赎回：指投资者主动部分或全部退出所持有理财产品的行为。</w:t>
      </w:r>
    </w:p>
    <w:p w14:paraId="5575525A"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22</w:t>
      </w:r>
      <w:r>
        <w:rPr>
          <w:rFonts w:ascii="微软简仿宋" w:eastAsia="微软简仿宋" w:hint="eastAsia"/>
          <w:bCs/>
          <w:color w:val="000000"/>
          <w:szCs w:val="21"/>
        </w:rPr>
        <w:t>．</w:t>
      </w:r>
      <w:r>
        <w:rPr>
          <w:rFonts w:ascii="微软简仿宋" w:eastAsia="微软简仿宋" w:hint="eastAsia"/>
          <w:color w:val="000000"/>
          <w:szCs w:val="21"/>
        </w:rPr>
        <w:t>巨额赎回：指开放式公募理财产品单个开放日净赎回申请超过理财产品总份额的10%的赎回行为。出现巨额赎回时，按照法律法规、监管规定和理财产品销售文件约定，乙方有权综合运用设置赎回上限、延期办理巨额赎回申请、暂停接受赎回申请、收取赎回费等方式，降低</w:t>
      </w:r>
      <w:r>
        <w:rPr>
          <w:rFonts w:ascii="微软简仿宋" w:eastAsia="微软简仿宋"/>
          <w:color w:val="000000"/>
          <w:szCs w:val="21"/>
        </w:rPr>
        <w:t>理财产品流动性风险</w:t>
      </w:r>
      <w:r>
        <w:rPr>
          <w:rFonts w:ascii="微软简仿宋" w:eastAsia="微软简仿宋" w:hint="eastAsia"/>
          <w:color w:val="000000"/>
          <w:szCs w:val="21"/>
        </w:rPr>
        <w:t>，具体以理财产品说明书约定为准。</w:t>
      </w:r>
    </w:p>
    <w:p w14:paraId="10E527E1"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冷静期</w:t>
      </w:r>
      <w:r>
        <w:rPr>
          <w:rFonts w:ascii="微软简仿宋" w:eastAsia="微软简仿宋"/>
          <w:color w:val="000000"/>
          <w:szCs w:val="21"/>
        </w:rPr>
        <w:t>：</w:t>
      </w:r>
      <w:r>
        <w:rPr>
          <w:rFonts w:ascii="微软简仿宋" w:eastAsia="微软简仿宋" w:hint="eastAsia"/>
          <w:color w:val="000000"/>
          <w:szCs w:val="21"/>
        </w:rPr>
        <w:t>对</w:t>
      </w:r>
      <w:r>
        <w:rPr>
          <w:rFonts w:ascii="微软简仿宋" w:eastAsia="微软简仿宋"/>
          <w:color w:val="000000"/>
          <w:szCs w:val="21"/>
        </w:rPr>
        <w:t>私募</w:t>
      </w:r>
      <w:r>
        <w:rPr>
          <w:rFonts w:ascii="微软简仿宋" w:eastAsia="微软简仿宋" w:hint="eastAsia"/>
          <w:color w:val="000000"/>
          <w:szCs w:val="21"/>
        </w:rPr>
        <w:t>类</w:t>
      </w:r>
      <w:r>
        <w:rPr>
          <w:rFonts w:ascii="微软简仿宋" w:eastAsia="微软简仿宋"/>
          <w:color w:val="000000"/>
          <w:szCs w:val="21"/>
        </w:rPr>
        <w:t>理财</w:t>
      </w:r>
      <w:r>
        <w:rPr>
          <w:rFonts w:ascii="微软简仿宋" w:eastAsia="微软简仿宋" w:hint="eastAsia"/>
          <w:color w:val="000000"/>
          <w:szCs w:val="21"/>
        </w:rPr>
        <w:t>产品</w:t>
      </w:r>
      <w:r>
        <w:rPr>
          <w:rFonts w:ascii="微软简仿宋" w:eastAsia="微软简仿宋"/>
          <w:color w:val="000000"/>
          <w:szCs w:val="21"/>
        </w:rPr>
        <w:t>，</w:t>
      </w:r>
      <w:r>
        <w:rPr>
          <w:rFonts w:ascii="微软简仿宋" w:eastAsia="微软简仿宋" w:hint="eastAsia"/>
          <w:color w:val="000000"/>
          <w:szCs w:val="21"/>
        </w:rPr>
        <w:t>甲方自签署私募理财产品销售文件之时起，有权享有</w:t>
      </w:r>
      <w:r>
        <w:rPr>
          <w:rFonts w:ascii="微软简仿宋" w:eastAsia="微软简仿宋"/>
          <w:color w:val="000000"/>
          <w:szCs w:val="21"/>
        </w:rPr>
        <w:t>24</w:t>
      </w:r>
      <w:r>
        <w:rPr>
          <w:rFonts w:ascii="微软简仿宋" w:eastAsia="微软简仿宋" w:hint="eastAsia"/>
          <w:color w:val="000000"/>
          <w:szCs w:val="21"/>
        </w:rPr>
        <w:t>小时的投资冷静期。在投资冷静期内，如果甲方改变决定，乙方将遵从甲方意愿，解除已签订的销售文件，并及时退还全部投资款项。</w:t>
      </w:r>
    </w:p>
    <w:p w14:paraId="4237ACC5"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三、理财</w:t>
      </w:r>
      <w:r>
        <w:rPr>
          <w:rFonts w:ascii="微软简仿宋" w:eastAsia="微软简仿宋"/>
          <w:b/>
          <w:bCs/>
          <w:color w:val="000000"/>
          <w:szCs w:val="21"/>
        </w:rPr>
        <w:t>产品</w:t>
      </w:r>
      <w:r>
        <w:rPr>
          <w:rFonts w:ascii="微软简仿宋" w:eastAsia="微软简仿宋" w:hint="eastAsia"/>
          <w:b/>
          <w:bCs/>
          <w:color w:val="000000"/>
          <w:szCs w:val="21"/>
        </w:rPr>
        <w:t>的基本情况</w:t>
      </w:r>
    </w:p>
    <w:p w14:paraId="6CEBC6B9"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有关甲方所认/申购理财产品的任何介绍、说明仅以理财</w:t>
      </w:r>
      <w:r>
        <w:rPr>
          <w:rFonts w:ascii="微软简仿宋" w:eastAsia="微软简仿宋"/>
          <w:b/>
          <w:bCs/>
          <w:color w:val="000000"/>
          <w:szCs w:val="21"/>
        </w:rPr>
        <w:t>产品销售文件</w:t>
      </w:r>
      <w:r>
        <w:rPr>
          <w:rFonts w:ascii="微软简仿宋" w:eastAsia="微软简仿宋" w:hint="eastAsia"/>
          <w:b/>
          <w:bCs/>
          <w:color w:val="000000"/>
          <w:szCs w:val="21"/>
        </w:rPr>
        <w:t>和乙方通过约定信息披露途径发布的对应产品公告为准。</w:t>
      </w:r>
    </w:p>
    <w:p w14:paraId="2C339A2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理财产品风险评级为乙方自主评定。代理</w:t>
      </w:r>
      <w:r>
        <w:rPr>
          <w:rFonts w:ascii="微软简仿宋" w:eastAsia="微软简仿宋"/>
          <w:color w:val="000000"/>
          <w:szCs w:val="21"/>
        </w:rPr>
        <w:t>销售</w:t>
      </w:r>
      <w:r>
        <w:rPr>
          <w:rFonts w:ascii="微软简仿宋" w:eastAsia="微软简仿宋" w:hint="eastAsia"/>
          <w:color w:val="000000"/>
          <w:szCs w:val="21"/>
        </w:rPr>
        <w:t>机构对理财产品的风险评级结果，遵从代销机构的规定，并以代销机构最终披露的评级结果为准。如代销</w:t>
      </w:r>
      <w:r>
        <w:rPr>
          <w:rFonts w:ascii="微软简仿宋" w:eastAsia="微软简仿宋"/>
          <w:color w:val="000000"/>
          <w:szCs w:val="21"/>
        </w:rPr>
        <w:t>机构对理财产品</w:t>
      </w:r>
      <w:r>
        <w:rPr>
          <w:rFonts w:ascii="微软简仿宋" w:eastAsia="微软简仿宋" w:hint="eastAsia"/>
          <w:color w:val="000000"/>
          <w:szCs w:val="21"/>
        </w:rPr>
        <w:t>的</w:t>
      </w:r>
      <w:r>
        <w:rPr>
          <w:rFonts w:ascii="微软简仿宋" w:eastAsia="微软简仿宋"/>
          <w:color w:val="000000"/>
          <w:szCs w:val="21"/>
        </w:rPr>
        <w:t>风险评级结果</w:t>
      </w:r>
      <w:r>
        <w:rPr>
          <w:rFonts w:ascii="微软简仿宋" w:eastAsia="微软简仿宋" w:hint="eastAsia"/>
          <w:color w:val="000000"/>
          <w:szCs w:val="21"/>
        </w:rPr>
        <w:t>与乙方评级结果不一致，代销机构应当采用对应较高风险等级的评级结果并予以披露。</w:t>
      </w:r>
    </w:p>
    <w:p w14:paraId="52AD6FDB"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四、理财</w:t>
      </w:r>
      <w:r>
        <w:rPr>
          <w:rFonts w:ascii="微软简仿宋" w:eastAsia="微软简仿宋"/>
          <w:b/>
          <w:bCs/>
          <w:color w:val="000000"/>
          <w:szCs w:val="21"/>
        </w:rPr>
        <w:t>产品</w:t>
      </w:r>
      <w:r>
        <w:rPr>
          <w:rFonts w:ascii="微软简仿宋" w:eastAsia="微软简仿宋" w:hint="eastAsia"/>
          <w:b/>
          <w:bCs/>
          <w:color w:val="000000"/>
          <w:szCs w:val="21"/>
        </w:rPr>
        <w:t>的销售业务</w:t>
      </w:r>
    </w:p>
    <w:p w14:paraId="62A90C6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为维护全体投资者权益，乙方可根据法律法规、监管规定及说明书约定设置、调整理财产品的销售总规模、销售</w:t>
      </w:r>
      <w:r>
        <w:rPr>
          <w:rFonts w:ascii="微软简仿宋" w:eastAsia="微软简仿宋"/>
          <w:color w:val="000000"/>
          <w:szCs w:val="21"/>
        </w:rPr>
        <w:t>机构、销售</w:t>
      </w:r>
      <w:r>
        <w:rPr>
          <w:rFonts w:ascii="微软简仿宋" w:eastAsia="微软简仿宋" w:hint="eastAsia"/>
          <w:color w:val="000000"/>
          <w:szCs w:val="21"/>
        </w:rPr>
        <w:t>渠道、销售对象、销售</w:t>
      </w:r>
      <w:r>
        <w:rPr>
          <w:rFonts w:ascii="微软简仿宋" w:eastAsia="微软简仿宋"/>
          <w:color w:val="000000"/>
          <w:szCs w:val="21"/>
        </w:rPr>
        <w:t>机构或</w:t>
      </w:r>
      <w:r>
        <w:rPr>
          <w:rFonts w:ascii="微软简仿宋" w:eastAsia="微软简仿宋" w:hint="eastAsia"/>
          <w:color w:val="000000"/>
          <w:szCs w:val="21"/>
        </w:rPr>
        <w:t>渠道的销售额度、交易时间及其他交易条件等销售业务规则，并履行信息披露义务。</w:t>
      </w:r>
    </w:p>
    <w:p w14:paraId="0A4DE88C"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投资者须通过乙方或其指定的代理销售机构投资理财</w:t>
      </w:r>
      <w:r>
        <w:rPr>
          <w:rFonts w:ascii="微软简仿宋" w:eastAsia="微软简仿宋"/>
          <w:color w:val="000000"/>
          <w:szCs w:val="21"/>
        </w:rPr>
        <w:t>产品</w:t>
      </w:r>
      <w:r>
        <w:rPr>
          <w:rFonts w:ascii="微软简仿宋" w:eastAsia="微软简仿宋" w:hint="eastAsia"/>
          <w:color w:val="000000"/>
          <w:szCs w:val="21"/>
        </w:rPr>
        <w:t>，各代理</w:t>
      </w:r>
      <w:r>
        <w:rPr>
          <w:rFonts w:ascii="微软简仿宋" w:eastAsia="微软简仿宋"/>
          <w:color w:val="000000"/>
          <w:szCs w:val="21"/>
        </w:rPr>
        <w:t>销售机构</w:t>
      </w:r>
      <w:r>
        <w:rPr>
          <w:rFonts w:ascii="微软简仿宋" w:eastAsia="微软简仿宋" w:hint="eastAsia"/>
          <w:color w:val="000000"/>
          <w:szCs w:val="21"/>
        </w:rPr>
        <w:t>的名单及信息详见乙方披露的销售机构公告。</w:t>
      </w:r>
    </w:p>
    <w:p w14:paraId="69DEF283"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甲方通过销售机构办理认/申购和赎回等</w:t>
      </w:r>
      <w:r>
        <w:rPr>
          <w:rFonts w:ascii="微软简仿宋" w:eastAsia="微软简仿宋"/>
          <w:b/>
          <w:bCs/>
          <w:color w:val="000000"/>
          <w:szCs w:val="21"/>
        </w:rPr>
        <w:t>交易业务</w:t>
      </w:r>
      <w:r>
        <w:rPr>
          <w:rFonts w:ascii="微软简仿宋" w:eastAsia="微软简仿宋" w:hint="eastAsia"/>
          <w:b/>
          <w:bCs/>
          <w:color w:val="000000"/>
          <w:szCs w:val="21"/>
        </w:rPr>
        <w:t>时，销售机构对交易申请的受理并不代表该申请一定成功，交易结果以乙方的确认为准。对于交易</w:t>
      </w:r>
      <w:r>
        <w:rPr>
          <w:rFonts w:ascii="微软简仿宋" w:eastAsia="微软简仿宋"/>
          <w:b/>
          <w:bCs/>
          <w:color w:val="000000"/>
          <w:szCs w:val="21"/>
        </w:rPr>
        <w:t>申请的</w:t>
      </w:r>
      <w:r>
        <w:rPr>
          <w:rFonts w:ascii="微软简仿宋" w:eastAsia="微软简仿宋" w:hint="eastAsia"/>
          <w:b/>
          <w:bCs/>
          <w:color w:val="000000"/>
          <w:szCs w:val="21"/>
        </w:rPr>
        <w:t>确认情况，</w:t>
      </w:r>
      <w:r>
        <w:rPr>
          <w:rFonts w:ascii="微软简仿宋" w:eastAsia="微软简仿宋"/>
          <w:b/>
          <w:bCs/>
          <w:color w:val="000000"/>
          <w:szCs w:val="21"/>
        </w:rPr>
        <w:t>甲方</w:t>
      </w:r>
      <w:r>
        <w:rPr>
          <w:rFonts w:ascii="微软简仿宋" w:eastAsia="微软简仿宋" w:hint="eastAsia"/>
          <w:b/>
          <w:bCs/>
          <w:color w:val="000000"/>
          <w:szCs w:val="21"/>
        </w:rPr>
        <w:t>应及时查询。</w:t>
      </w:r>
    </w:p>
    <w:p w14:paraId="290A7983"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w:t>
      </w:r>
      <w:r>
        <w:rPr>
          <w:rFonts w:ascii="微软简仿宋" w:eastAsia="微软简仿宋" w:hint="eastAsia"/>
          <w:color w:val="000000"/>
          <w:szCs w:val="21"/>
        </w:rPr>
        <w:t>销售机构的</w:t>
      </w:r>
      <w:r>
        <w:rPr>
          <w:rFonts w:ascii="微软简仿宋" w:eastAsia="微软简仿宋"/>
          <w:color w:val="000000"/>
          <w:szCs w:val="21"/>
        </w:rPr>
        <w:t>义务</w:t>
      </w:r>
    </w:p>
    <w:p w14:paraId="11E45BF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销售机构应当遵守法律法规、监管规定以及理财产品销售文件的约定，诚</w:t>
      </w:r>
      <w:r>
        <w:rPr>
          <w:rFonts w:ascii="微软简仿宋" w:eastAsia="微软简仿宋" w:hint="eastAsia"/>
          <w:color w:val="000000"/>
          <w:szCs w:val="21"/>
        </w:rPr>
        <w:lastRenderedPageBreak/>
        <w:t>实守信，谨慎勤勉，恪守职业道德和行为规范，向投资者充分披露信息并揭示风险，打破刚性兑付，不得直接或变相宣传、承诺理财</w:t>
      </w:r>
      <w:r>
        <w:rPr>
          <w:rFonts w:ascii="微软简仿宋" w:eastAsia="微软简仿宋"/>
          <w:color w:val="000000"/>
          <w:szCs w:val="21"/>
        </w:rPr>
        <w:t>产品</w:t>
      </w:r>
      <w:r>
        <w:rPr>
          <w:rFonts w:ascii="微软简仿宋" w:eastAsia="微软简仿宋" w:hint="eastAsia"/>
          <w:color w:val="000000"/>
          <w:szCs w:val="21"/>
        </w:rPr>
        <w:t>保本保收益。</w:t>
      </w:r>
    </w:p>
    <w:p w14:paraId="00A940F1"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不得以理财名义或使用“理财”字样开展其他金融产品销售业务活动。</w:t>
      </w:r>
    </w:p>
    <w:p w14:paraId="782D1D1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对非机构投资者的风险承受能力进行评估，确定投资者风险承受能力等级，将投资者的风险承受能力与理财产品风险进行匹配。</w:t>
      </w:r>
    </w:p>
    <w:p w14:paraId="75C1D664"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完整记录并保存销售业务活动信息，确保记录信息的全面、准确和不可篡改。</w:t>
      </w:r>
    </w:p>
    <w:p w14:paraId="284ABA62"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通过其电子渠道向非机构投资者销售理财产品时，应完整客观记录营销推介、产品风险和关键信息提示、投资者确认和反馈等重点销售环节。对</w:t>
      </w:r>
      <w:r>
        <w:rPr>
          <w:rFonts w:ascii="微软简仿宋" w:eastAsia="微软简仿宋"/>
          <w:color w:val="000000"/>
          <w:szCs w:val="21"/>
        </w:rPr>
        <w:t>甲方</w:t>
      </w:r>
      <w:r>
        <w:rPr>
          <w:rFonts w:ascii="微软简仿宋" w:eastAsia="微软简仿宋" w:hint="eastAsia"/>
          <w:color w:val="000000"/>
          <w:szCs w:val="21"/>
        </w:rPr>
        <w:t>进行上述记录行为的，应当征得甲方同意。</w:t>
      </w:r>
    </w:p>
    <w:p w14:paraId="55DD0569"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除非与非机构投资者当面书面约定，销售评级为四级以上理财产品的，应当在销售</w:t>
      </w:r>
      <w:r>
        <w:rPr>
          <w:rFonts w:ascii="微软简仿宋" w:eastAsia="微软简仿宋"/>
          <w:color w:val="000000"/>
          <w:szCs w:val="21"/>
        </w:rPr>
        <w:t>机构</w:t>
      </w:r>
      <w:r>
        <w:rPr>
          <w:rFonts w:ascii="微软简仿宋" w:eastAsia="微软简仿宋" w:hint="eastAsia"/>
          <w:color w:val="000000"/>
          <w:szCs w:val="21"/>
        </w:rPr>
        <w:t>营业网点进行。</w:t>
      </w:r>
    </w:p>
    <w:p w14:paraId="1B2575B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根据反洗钱、反恐怖融资及非居民金融账户涉税信息尽职调查等相关法律法规要求识别投资者身份。</w:t>
      </w:r>
    </w:p>
    <w:p w14:paraId="0722E9BF"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8</w:t>
      </w:r>
      <w:r>
        <w:rPr>
          <w:rFonts w:ascii="微软简仿宋" w:eastAsia="微软简仿宋" w:hint="eastAsia"/>
          <w:bCs/>
          <w:color w:val="000000"/>
          <w:szCs w:val="21"/>
        </w:rPr>
        <w:t>．完善合格投资者尽职调查流程，充分了解合格</w:t>
      </w:r>
      <w:r>
        <w:rPr>
          <w:rFonts w:ascii="微软简仿宋" w:eastAsia="微软简仿宋"/>
          <w:bCs/>
          <w:color w:val="000000"/>
          <w:szCs w:val="21"/>
        </w:rPr>
        <w:t>投资者的</w:t>
      </w:r>
      <w:r>
        <w:rPr>
          <w:rFonts w:ascii="微软简仿宋" w:eastAsia="微软简仿宋" w:hint="eastAsia"/>
          <w:bCs/>
          <w:color w:val="000000"/>
          <w:szCs w:val="21"/>
        </w:rPr>
        <w:t>信息，收集、核验合格投资者的金融资产证明、收入证明或纳税凭证等材料，对非机构合格投资者风险识别能力和风险承受能力进行持续评估，并要求非机构投资者承诺投资资金为自有资金。</w:t>
      </w:r>
    </w:p>
    <w:p w14:paraId="616DF131" w14:textId="77777777" w:rsidR="0074532A" w:rsidRDefault="00000000">
      <w:pPr>
        <w:pStyle w:val="7063fc63"/>
        <w:adjustRightInd w:val="0"/>
        <w:snapToGrid w:val="0"/>
        <w:spacing w:line="360" w:lineRule="auto"/>
        <w:ind w:firstLineChars="200" w:firstLine="420"/>
        <w:rPr>
          <w:rFonts w:ascii="微软简仿宋" w:eastAsia="微软简仿宋"/>
          <w:bCs/>
          <w:color w:val="000000"/>
          <w:szCs w:val="21"/>
        </w:rPr>
      </w:pPr>
      <w:r>
        <w:rPr>
          <w:rFonts w:ascii="微软简仿宋" w:eastAsia="微软简仿宋"/>
          <w:color w:val="000000"/>
          <w:szCs w:val="21"/>
        </w:rPr>
        <w:t>9</w:t>
      </w:r>
      <w:r>
        <w:rPr>
          <w:rFonts w:ascii="微软简仿宋" w:eastAsia="微软简仿宋" w:hint="eastAsia"/>
          <w:bCs/>
          <w:color w:val="000000"/>
          <w:szCs w:val="21"/>
        </w:rPr>
        <w:t>．按照法律法规、监管规定和理财产品销售</w:t>
      </w:r>
      <w:r>
        <w:rPr>
          <w:rFonts w:ascii="微软简仿宋" w:eastAsia="微软简仿宋"/>
          <w:bCs/>
          <w:color w:val="000000"/>
          <w:szCs w:val="21"/>
        </w:rPr>
        <w:t>文件</w:t>
      </w:r>
      <w:r>
        <w:rPr>
          <w:rFonts w:ascii="微软简仿宋" w:eastAsia="微软简仿宋" w:hint="eastAsia"/>
          <w:bCs/>
          <w:color w:val="000000"/>
          <w:szCs w:val="21"/>
        </w:rPr>
        <w:t>的约定，办理理财产品的认（申）购、赎回，不得擅自拒绝接受投资者的认（申）购、赎回申请。</w:t>
      </w:r>
    </w:p>
    <w:p w14:paraId="51CAD677"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10</w:t>
      </w:r>
      <w:r>
        <w:rPr>
          <w:rFonts w:ascii="微软简仿宋" w:eastAsia="微软简仿宋" w:hint="eastAsia"/>
          <w:bCs/>
          <w:color w:val="000000"/>
          <w:szCs w:val="21"/>
        </w:rPr>
        <w:t>．按照法律法规、监管规定要求</w:t>
      </w:r>
      <w:r>
        <w:rPr>
          <w:rFonts w:ascii="微软简仿宋" w:eastAsia="微软简仿宋"/>
          <w:bCs/>
          <w:color w:val="000000"/>
          <w:szCs w:val="21"/>
        </w:rPr>
        <w:t>，</w:t>
      </w:r>
      <w:r>
        <w:rPr>
          <w:rFonts w:ascii="微软简仿宋" w:eastAsia="微软简仿宋" w:hint="eastAsia"/>
          <w:bCs/>
          <w:color w:val="000000"/>
          <w:szCs w:val="21"/>
        </w:rPr>
        <w:t>向</w:t>
      </w:r>
      <w:r>
        <w:rPr>
          <w:rFonts w:ascii="微软简仿宋" w:eastAsia="微软简仿宋"/>
          <w:bCs/>
          <w:color w:val="000000"/>
          <w:szCs w:val="21"/>
        </w:rPr>
        <w:t>甲方</w:t>
      </w:r>
      <w:r>
        <w:rPr>
          <w:rFonts w:ascii="微软简仿宋" w:eastAsia="微软简仿宋" w:hint="eastAsia"/>
          <w:color w:val="000000"/>
          <w:szCs w:val="21"/>
        </w:rPr>
        <w:t>持续提供信息服务。</w:t>
      </w:r>
    </w:p>
    <w:p w14:paraId="6D92821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11</w:t>
      </w:r>
      <w:r>
        <w:rPr>
          <w:rFonts w:ascii="微软简仿宋" w:eastAsia="微软简仿宋" w:hint="eastAsia"/>
          <w:bCs/>
          <w:color w:val="000000"/>
          <w:szCs w:val="21"/>
        </w:rPr>
        <w:t>．</w:t>
      </w:r>
      <w:r>
        <w:rPr>
          <w:rFonts w:ascii="微软简仿宋" w:eastAsia="微软简仿宋" w:hint="eastAsia"/>
          <w:color w:val="000000"/>
          <w:szCs w:val="21"/>
        </w:rPr>
        <w:t>在营业网点和电子渠道显著位置对理财产品销售人员信息进行公示。</w:t>
      </w:r>
    </w:p>
    <w:p w14:paraId="2896D8DF"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（二）理财产品销售机构及其销售人员从事理财产品销售业务活动，不得有下列情形：</w:t>
      </w:r>
    </w:p>
    <w:p w14:paraId="3E0AB55C"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误导投资者购买与其风险承受能力不相匹配的理财产品；</w:t>
      </w:r>
    </w:p>
    <w:p w14:paraId="3BDC55C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虚假宣传、片面或者不当宣传，夸大过往业绩，预测理财产品的投资业绩，或者出具、宣传理财产品预期收益率；</w:t>
      </w:r>
    </w:p>
    <w:p w14:paraId="0ED468F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使用未说明选择原因、测算依据或计算方法的业绩比较基准，单独或突出使用绝对数值、区间数值展示业绩比较基准；</w:t>
      </w:r>
    </w:p>
    <w:p w14:paraId="05CBE79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Cs/>
          <w:color w:val="000000"/>
          <w:szCs w:val="21"/>
        </w:rPr>
        <w:t>．</w:t>
      </w:r>
      <w:r>
        <w:rPr>
          <w:rFonts w:ascii="微软简仿宋" w:eastAsia="微软简仿宋" w:hint="eastAsia"/>
          <w:color w:val="000000"/>
          <w:szCs w:val="21"/>
        </w:rPr>
        <w:t>将销售的理财产品与存款或其他产品进行混同；</w:t>
      </w:r>
    </w:p>
    <w:p w14:paraId="7A8011C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在理财产品销售过程中强制捆绑、搭售其他服务或产品；</w:t>
      </w:r>
    </w:p>
    <w:p w14:paraId="1E36C02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提供抽奖、回扣、馈赠实物、代金权益及金融产品等销售理财产品；</w:t>
      </w:r>
    </w:p>
    <w:p w14:paraId="35778A3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违背投资者利益优先原则，为谋取机构或人员的利益，诱导投资者进行短期、频繁购买和赎回操作；</w:t>
      </w:r>
    </w:p>
    <w:p w14:paraId="45FF24B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8</w:t>
      </w:r>
      <w:r>
        <w:rPr>
          <w:rFonts w:ascii="微软简仿宋" w:eastAsia="微软简仿宋" w:hint="eastAsia"/>
          <w:bCs/>
          <w:color w:val="000000"/>
          <w:szCs w:val="21"/>
        </w:rPr>
        <w:t>．</w:t>
      </w:r>
      <w:r>
        <w:rPr>
          <w:rFonts w:ascii="微软简仿宋" w:eastAsia="微软简仿宋" w:hint="eastAsia"/>
          <w:color w:val="000000"/>
          <w:szCs w:val="21"/>
        </w:rPr>
        <w:t>由销售人员违规代替投资者签署销售业务相关文件，或者代替投资者进行风险承受能力评估、理财产品购买等操作，代替投资者持有或安排他人代替投资者持有其销售的理财产品；</w:t>
      </w:r>
    </w:p>
    <w:p w14:paraId="6830898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9</w:t>
      </w:r>
      <w:r>
        <w:rPr>
          <w:rFonts w:ascii="微软简仿宋" w:eastAsia="微软简仿宋" w:hint="eastAsia"/>
          <w:bCs/>
          <w:color w:val="000000"/>
          <w:szCs w:val="21"/>
        </w:rPr>
        <w:t>．</w:t>
      </w:r>
      <w:r>
        <w:rPr>
          <w:rFonts w:ascii="微软简仿宋" w:eastAsia="微软简仿宋" w:hint="eastAsia"/>
          <w:color w:val="000000"/>
          <w:szCs w:val="21"/>
        </w:rPr>
        <w:t>为理财产品提供直接或间接、显性或隐性担保，包括部分或全部承诺本金或收益保障；</w:t>
      </w:r>
    </w:p>
    <w:p w14:paraId="2918BBF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0</w:t>
      </w:r>
      <w:r>
        <w:rPr>
          <w:rFonts w:ascii="微软简仿宋" w:eastAsia="微软简仿宋" w:hint="eastAsia"/>
          <w:bCs/>
          <w:color w:val="000000"/>
          <w:szCs w:val="21"/>
        </w:rPr>
        <w:t>．</w:t>
      </w:r>
      <w:r>
        <w:rPr>
          <w:rFonts w:ascii="微软简仿宋" w:eastAsia="微软简仿宋" w:hint="eastAsia"/>
          <w:color w:val="000000"/>
          <w:szCs w:val="21"/>
        </w:rPr>
        <w:t>利用或者承诺利用理财产品和理财产品销售业务进行利益输送或利益交换；</w:t>
      </w:r>
    </w:p>
    <w:p w14:paraId="34F0986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恶意诋毁、贬低其他理财产品销售机构或者其他理财产品；</w:t>
      </w:r>
    </w:p>
    <w:p w14:paraId="0D126EF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12</w:t>
      </w:r>
      <w:r>
        <w:rPr>
          <w:rFonts w:ascii="微软简仿宋" w:eastAsia="微软简仿宋" w:hint="eastAsia"/>
          <w:bCs/>
          <w:color w:val="000000"/>
          <w:szCs w:val="21"/>
        </w:rPr>
        <w:t>．</w:t>
      </w:r>
      <w:r>
        <w:rPr>
          <w:rFonts w:ascii="微软简仿宋" w:eastAsia="微软简仿宋" w:hint="eastAsia"/>
          <w:color w:val="000000"/>
          <w:szCs w:val="21"/>
        </w:rPr>
        <w:t>截留、挪用理财产品销售结算资金；</w:t>
      </w:r>
    </w:p>
    <w:p w14:paraId="17370C1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13</w:t>
      </w:r>
      <w:r>
        <w:rPr>
          <w:rFonts w:ascii="微软简仿宋" w:eastAsia="微软简仿宋" w:hint="eastAsia"/>
          <w:bCs/>
          <w:color w:val="000000"/>
          <w:szCs w:val="21"/>
        </w:rPr>
        <w:t>．</w:t>
      </w:r>
      <w:r>
        <w:rPr>
          <w:rFonts w:ascii="微软简仿宋" w:eastAsia="微软简仿宋" w:hint="eastAsia"/>
          <w:color w:val="000000"/>
          <w:szCs w:val="21"/>
        </w:rPr>
        <w:t>违法违规提供理财产品投资者相关信息；</w:t>
      </w:r>
    </w:p>
    <w:p w14:paraId="35D871F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14</w:t>
      </w:r>
      <w:r>
        <w:rPr>
          <w:rFonts w:ascii="微软简仿宋" w:eastAsia="微软简仿宋" w:hint="eastAsia"/>
          <w:bCs/>
          <w:color w:val="000000"/>
          <w:szCs w:val="21"/>
        </w:rPr>
        <w:t>．</w:t>
      </w:r>
      <w:r>
        <w:rPr>
          <w:rFonts w:ascii="微软简仿宋" w:eastAsia="微软简仿宋" w:hint="eastAsia"/>
          <w:color w:val="000000"/>
          <w:szCs w:val="21"/>
        </w:rPr>
        <w:t>未经授权或超越授权范围开展销售业务，私自推介、销售未经本机构审批的理财产品，通过营业网点或电子渠道提供未经本机构审批的理财产品销售相关文件和资料；</w:t>
      </w:r>
    </w:p>
    <w:p w14:paraId="4B995B9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15</w:t>
      </w:r>
      <w:r>
        <w:rPr>
          <w:rFonts w:ascii="微软简仿宋" w:eastAsia="微软简仿宋" w:hint="eastAsia"/>
          <w:bCs/>
          <w:color w:val="000000"/>
          <w:szCs w:val="21"/>
        </w:rPr>
        <w:t>．</w:t>
      </w:r>
      <w:r>
        <w:rPr>
          <w:rFonts w:ascii="微软简仿宋" w:eastAsia="微软简仿宋" w:hint="eastAsia"/>
          <w:color w:val="000000"/>
          <w:szCs w:val="21"/>
        </w:rPr>
        <w:t>未按规定或者协议约定的时间发行理财产品，或者擅自变更理财产品的发行日期；</w:t>
      </w:r>
    </w:p>
    <w:p w14:paraId="555A71B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16</w:t>
      </w:r>
      <w:r>
        <w:rPr>
          <w:rFonts w:ascii="微软简仿宋" w:eastAsia="微软简仿宋" w:hint="eastAsia"/>
          <w:bCs/>
          <w:color w:val="000000"/>
          <w:szCs w:val="21"/>
        </w:rPr>
        <w:t>．</w:t>
      </w:r>
      <w:r>
        <w:rPr>
          <w:rFonts w:ascii="微软简仿宋" w:eastAsia="微软简仿宋" w:hint="eastAsia"/>
          <w:color w:val="000000"/>
          <w:szCs w:val="21"/>
        </w:rPr>
        <w:t>在获得理财</w:t>
      </w:r>
      <w:r>
        <w:rPr>
          <w:rFonts w:ascii="微软简仿宋" w:eastAsia="微软简仿宋"/>
          <w:color w:val="000000"/>
          <w:szCs w:val="21"/>
        </w:rPr>
        <w:t>产品</w:t>
      </w:r>
      <w:r>
        <w:rPr>
          <w:rFonts w:ascii="微软简仿宋" w:eastAsia="微软简仿宋" w:hint="eastAsia"/>
          <w:color w:val="000000"/>
          <w:szCs w:val="21"/>
        </w:rPr>
        <w:t>登记编码前，办理理财产品销售业务，发布理财产品宣传推介材料；</w:t>
      </w:r>
    </w:p>
    <w:p w14:paraId="09C846A1"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17</w:t>
      </w:r>
      <w:r>
        <w:rPr>
          <w:rFonts w:ascii="微软简仿宋" w:eastAsia="微软简仿宋" w:hint="eastAsia"/>
          <w:bCs/>
          <w:color w:val="000000"/>
          <w:szCs w:val="21"/>
        </w:rPr>
        <w:t>．</w:t>
      </w:r>
      <w:r>
        <w:rPr>
          <w:rFonts w:ascii="微软简仿宋" w:eastAsia="微软简仿宋" w:hint="eastAsia"/>
          <w:color w:val="000000"/>
          <w:szCs w:val="21"/>
        </w:rPr>
        <w:t>国务院银行业监督管理机构禁止的其他情形。</w:t>
      </w:r>
    </w:p>
    <w:p w14:paraId="634A5239" w14:textId="77777777" w:rsidR="0074532A" w:rsidRDefault="00000000">
      <w:pPr>
        <w:pStyle w:val="7063fc63"/>
        <w:adjustRightInd w:val="0"/>
        <w:snapToGrid w:val="0"/>
        <w:spacing w:line="360" w:lineRule="auto"/>
        <w:ind w:firstLineChars="200" w:firstLine="420"/>
        <w:outlineLvl w:val="1"/>
        <w:rPr>
          <w:rFonts w:ascii="微软简仿宋" w:eastAsia="微软简仿宋"/>
          <w:b/>
          <w:bCs/>
          <w:color w:val="000000"/>
          <w:szCs w:val="21"/>
        </w:rPr>
      </w:pPr>
      <w:r>
        <w:rPr>
          <w:rFonts w:ascii="微软简仿宋" w:eastAsia="微软简仿宋" w:hint="eastAsia"/>
          <w:b/>
          <w:bCs/>
          <w:color w:val="000000"/>
          <w:szCs w:val="21"/>
        </w:rPr>
        <w:t>（三）甲方如发现理财销售机构存在违背自身义务或采取上述不当理财产品销售行为的，应及时通知乙方，并应在该销售机构整改完成前停止在该机构接受理财销售服务。如甲方明知或应当知道某理财销售机构存在不当销售行为，仍通过该销售机构投资理财产品，则乙方对甲方可能遭受的损失不承担责任。</w:t>
      </w:r>
    </w:p>
    <w:p w14:paraId="35413657"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五、理财</w:t>
      </w:r>
      <w:r>
        <w:rPr>
          <w:rFonts w:ascii="微软简仿宋" w:eastAsia="微软简仿宋"/>
          <w:b/>
          <w:bCs/>
          <w:color w:val="000000"/>
          <w:szCs w:val="21"/>
        </w:rPr>
        <w:t>产品</w:t>
      </w:r>
      <w:r>
        <w:rPr>
          <w:rFonts w:ascii="微软简仿宋" w:eastAsia="微软简仿宋" w:hint="eastAsia"/>
          <w:b/>
          <w:bCs/>
          <w:color w:val="000000"/>
          <w:szCs w:val="21"/>
        </w:rPr>
        <w:t>的交易</w:t>
      </w:r>
    </w:p>
    <w:p w14:paraId="21CE7515"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（一）理财</w:t>
      </w:r>
      <w:r>
        <w:rPr>
          <w:rFonts w:ascii="微软简仿宋" w:eastAsia="微软简仿宋"/>
          <w:color w:val="000000"/>
          <w:szCs w:val="21"/>
        </w:rPr>
        <w:t>产品的认购</w:t>
      </w:r>
    </w:p>
    <w:p w14:paraId="086E796E"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乙方及代销机构于理财产品说明书列明的募集</w:t>
      </w:r>
      <w:r>
        <w:rPr>
          <w:rFonts w:ascii="微软简仿宋" w:eastAsia="微软简仿宋"/>
          <w:color w:val="000000"/>
          <w:szCs w:val="21"/>
        </w:rPr>
        <w:t>起始日</w:t>
      </w:r>
      <w:r>
        <w:rPr>
          <w:rFonts w:ascii="微软简仿宋" w:eastAsia="微软简仿宋" w:hint="eastAsia"/>
          <w:color w:val="000000"/>
          <w:szCs w:val="21"/>
        </w:rPr>
        <w:t>起至募集结束日止受理甲方的</w:t>
      </w:r>
      <w:r>
        <w:rPr>
          <w:rFonts w:ascii="微软简仿宋" w:eastAsia="微软简仿宋" w:hint="eastAsia"/>
          <w:color w:val="000000"/>
          <w:szCs w:val="21"/>
        </w:rPr>
        <w:lastRenderedPageBreak/>
        <w:t>认购。</w:t>
      </w:r>
    </w:p>
    <w:p w14:paraId="1135196D"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Cs/>
          <w:color w:val="000000"/>
          <w:szCs w:val="21"/>
        </w:rPr>
        <w:t>．乙方</w:t>
      </w:r>
      <w:r>
        <w:rPr>
          <w:rFonts w:ascii="微软简仿宋" w:eastAsia="微软简仿宋"/>
          <w:bCs/>
          <w:color w:val="000000"/>
          <w:szCs w:val="21"/>
        </w:rPr>
        <w:t>有权根据资金募集情况，宣布提前结束募集期或延长募集期。</w:t>
      </w:r>
    </w:p>
    <w:p w14:paraId="3D1D215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募集期结束，如发生</w:t>
      </w:r>
      <w:r>
        <w:rPr>
          <w:rFonts w:ascii="微软简仿宋" w:eastAsia="微软简仿宋"/>
          <w:color w:val="000000"/>
          <w:szCs w:val="21"/>
        </w:rPr>
        <w:t>下列情况</w:t>
      </w:r>
      <w:r>
        <w:rPr>
          <w:rFonts w:ascii="微软简仿宋" w:eastAsia="微软简仿宋" w:hint="eastAsia"/>
          <w:color w:val="000000"/>
          <w:szCs w:val="21"/>
        </w:rPr>
        <w:t>之一</w:t>
      </w:r>
      <w:r>
        <w:rPr>
          <w:rFonts w:ascii="微软简仿宋" w:eastAsia="微软简仿宋"/>
          <w:color w:val="000000"/>
          <w:szCs w:val="21"/>
        </w:rPr>
        <w:t>时，乙方有权宣布理财产品不成立：</w:t>
      </w:r>
    </w:p>
    <w:p w14:paraId="21960AE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（1）理财产品募集总金额未达到发行规模下限；</w:t>
      </w:r>
    </w:p>
    <w:p w14:paraId="142C63FC"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（2）市场发生重大变化，乙方无法或者经其合理判断难以按照原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060472E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（3）法律法规、监管规定、国家政策发生变化导致无法按照原</w:t>
      </w:r>
      <w:r>
        <w:rPr>
          <w:rFonts w:ascii="微软简仿宋" w:eastAsia="微软简仿宋"/>
          <w:color w:val="000000"/>
          <w:szCs w:val="21"/>
        </w:rPr>
        <w:t>销售文件约定</w:t>
      </w:r>
      <w:r>
        <w:rPr>
          <w:rFonts w:ascii="微软简仿宋" w:eastAsia="微软简仿宋" w:hint="eastAsia"/>
          <w:color w:val="000000"/>
          <w:szCs w:val="21"/>
        </w:rPr>
        <w:t>向投资者提供理财产品。</w:t>
      </w:r>
    </w:p>
    <w:p w14:paraId="73B88571"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（二）理财</w:t>
      </w:r>
      <w:r>
        <w:rPr>
          <w:rFonts w:ascii="微软简仿宋" w:eastAsia="微软简仿宋"/>
          <w:color w:val="000000"/>
          <w:szCs w:val="21"/>
        </w:rPr>
        <w:t>产品的</w:t>
      </w:r>
      <w:r>
        <w:rPr>
          <w:rFonts w:ascii="微软简仿宋" w:eastAsia="微软简仿宋" w:hint="eastAsia"/>
          <w:color w:val="000000"/>
          <w:szCs w:val="21"/>
        </w:rPr>
        <w:t>申购与赎回</w:t>
      </w:r>
    </w:p>
    <w:p w14:paraId="08E4407B"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bCs/>
          <w:color w:val="000000"/>
          <w:szCs w:val="21"/>
        </w:rPr>
        <w:t>1．</w:t>
      </w:r>
      <w:r>
        <w:rPr>
          <w:rFonts w:ascii="微软简仿宋" w:eastAsia="微软简仿宋" w:hint="eastAsia"/>
          <w:color w:val="000000"/>
          <w:szCs w:val="21"/>
        </w:rPr>
        <w:t>乙方可根据理财产品的投资管理需要设置或</w:t>
      </w:r>
      <w:r>
        <w:rPr>
          <w:rFonts w:ascii="微软简仿宋" w:eastAsia="微软简仿宋"/>
          <w:color w:val="000000"/>
          <w:szCs w:val="21"/>
        </w:rPr>
        <w:t>调整理财</w:t>
      </w:r>
      <w:r>
        <w:rPr>
          <w:rFonts w:ascii="微软简仿宋" w:eastAsia="微软简仿宋" w:hint="eastAsia"/>
          <w:color w:val="000000"/>
          <w:szCs w:val="21"/>
        </w:rPr>
        <w:t>产品的封闭期和开放期。如对处于封闭期内的理财产品临时开放或调整理财</w:t>
      </w:r>
      <w:r>
        <w:rPr>
          <w:rFonts w:ascii="微软简仿宋" w:eastAsia="微软简仿宋"/>
          <w:color w:val="000000"/>
          <w:szCs w:val="21"/>
        </w:rPr>
        <w:t>产品</w:t>
      </w:r>
      <w:r>
        <w:rPr>
          <w:rFonts w:ascii="微软简仿宋" w:eastAsia="微软简仿宋" w:hint="eastAsia"/>
          <w:color w:val="000000"/>
          <w:szCs w:val="21"/>
        </w:rPr>
        <w:t>开放条款等，乙方将通过约定的信息披露途径及时公告。</w:t>
      </w:r>
    </w:p>
    <w:p w14:paraId="378A6F0C"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bCs/>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或调整投资者首次申购、追加申购的最低金额以及每次赎回的最低份额，具体约定请参见理财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54D2FA5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或调整投资者每个交易账户的最低理财</w:t>
      </w:r>
      <w:r>
        <w:rPr>
          <w:rFonts w:ascii="微软简仿宋" w:eastAsia="微软简仿宋"/>
          <w:color w:val="000000"/>
          <w:szCs w:val="21"/>
        </w:rPr>
        <w:t>产品</w:t>
      </w:r>
      <w:r>
        <w:rPr>
          <w:rFonts w:ascii="微软简仿宋" w:eastAsia="微软简仿宋" w:hint="eastAsia"/>
          <w:color w:val="000000"/>
          <w:szCs w:val="21"/>
        </w:rPr>
        <w:t>份额余额，具体约定请参见理财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3CDA094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产品销售文件可能约定</w:t>
      </w:r>
      <w:r>
        <w:rPr>
          <w:rFonts w:ascii="微软简仿宋" w:eastAsia="微软简仿宋" w:hint="eastAsia"/>
          <w:color w:val="000000"/>
          <w:szCs w:val="21"/>
        </w:rPr>
        <w:t>或调整单个投资者累计持有的理财</w:t>
      </w:r>
      <w:r>
        <w:rPr>
          <w:rFonts w:ascii="微软简仿宋" w:eastAsia="微软简仿宋"/>
          <w:color w:val="000000"/>
          <w:szCs w:val="21"/>
        </w:rPr>
        <w:t>产品</w:t>
      </w:r>
      <w:r>
        <w:rPr>
          <w:rFonts w:ascii="微软简仿宋" w:eastAsia="微软简仿宋" w:hint="eastAsia"/>
          <w:color w:val="000000"/>
          <w:szCs w:val="21"/>
        </w:rPr>
        <w:t>份额上限，具体约定请参见理财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13A2114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当接受申购申请对存量理财</w:t>
      </w:r>
      <w:r>
        <w:rPr>
          <w:rFonts w:ascii="微软简仿宋" w:eastAsia="微软简仿宋"/>
          <w:color w:val="000000"/>
          <w:szCs w:val="21"/>
        </w:rPr>
        <w:t>产品投资</w:t>
      </w:r>
      <w:r>
        <w:rPr>
          <w:rFonts w:ascii="微软简仿宋" w:eastAsia="微软简仿宋" w:hint="eastAsia"/>
          <w:color w:val="000000"/>
          <w:szCs w:val="21"/>
        </w:rPr>
        <w:t>者利益构成潜在重大不利影响时，乙方可采取设定单一投资者申购金额上限或理财</w:t>
      </w:r>
      <w:r>
        <w:rPr>
          <w:rFonts w:ascii="微软简仿宋" w:eastAsia="微软简仿宋"/>
          <w:color w:val="000000"/>
          <w:szCs w:val="21"/>
        </w:rPr>
        <w:t>产品</w:t>
      </w:r>
      <w:r>
        <w:rPr>
          <w:rFonts w:ascii="微软简仿宋" w:eastAsia="微软简仿宋" w:hint="eastAsia"/>
          <w:color w:val="000000"/>
          <w:szCs w:val="21"/>
        </w:rPr>
        <w:t>单日净申购比例上限、拒绝大额申购、暂停理财</w:t>
      </w:r>
      <w:r>
        <w:rPr>
          <w:rFonts w:ascii="微软简仿宋" w:eastAsia="微软简仿宋"/>
          <w:color w:val="000000"/>
          <w:szCs w:val="21"/>
        </w:rPr>
        <w:t>产品</w:t>
      </w:r>
      <w:r>
        <w:rPr>
          <w:rFonts w:ascii="微软简仿宋" w:eastAsia="微软简仿宋" w:hint="eastAsia"/>
          <w:color w:val="000000"/>
          <w:szCs w:val="21"/>
        </w:rPr>
        <w:t>申购等措施，以保护存量理财</w:t>
      </w:r>
      <w:r>
        <w:rPr>
          <w:rFonts w:ascii="微软简仿宋" w:eastAsia="微软简仿宋"/>
          <w:color w:val="000000"/>
          <w:szCs w:val="21"/>
        </w:rPr>
        <w:t>产品投资者</w:t>
      </w:r>
      <w:r>
        <w:rPr>
          <w:rFonts w:ascii="微软简仿宋" w:eastAsia="微软简仿宋" w:hint="eastAsia"/>
          <w:color w:val="000000"/>
          <w:szCs w:val="21"/>
        </w:rPr>
        <w:t>的合法权益，具体约定请参见理财</w:t>
      </w:r>
      <w:r>
        <w:rPr>
          <w:rFonts w:ascii="微软简仿宋" w:eastAsia="微软简仿宋"/>
          <w:color w:val="000000"/>
          <w:szCs w:val="21"/>
        </w:rPr>
        <w:t>产品</w:t>
      </w:r>
      <w:r>
        <w:rPr>
          <w:rFonts w:ascii="微软简仿宋" w:eastAsia="微软简仿宋" w:hint="eastAsia"/>
          <w:color w:val="000000"/>
          <w:szCs w:val="21"/>
        </w:rPr>
        <w:t>说明书及相关公告。</w:t>
      </w:r>
    </w:p>
    <w:p w14:paraId="4B7DA4A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的申购份额、赎回金额的具体计算方法，认购费</w:t>
      </w:r>
      <w:r>
        <w:rPr>
          <w:rFonts w:ascii="微软简仿宋" w:eastAsia="微软简仿宋"/>
          <w:color w:val="000000"/>
          <w:szCs w:val="21"/>
        </w:rPr>
        <w:t>、</w:t>
      </w:r>
      <w:r>
        <w:rPr>
          <w:rFonts w:ascii="微软简仿宋" w:eastAsia="微软简仿宋" w:hint="eastAsia"/>
          <w:color w:val="000000"/>
          <w:szCs w:val="21"/>
        </w:rPr>
        <w:t>申购费、赎回费以及</w:t>
      </w:r>
      <w:r>
        <w:rPr>
          <w:rFonts w:ascii="微软简仿宋" w:eastAsia="微软简仿宋"/>
          <w:color w:val="000000"/>
          <w:szCs w:val="21"/>
        </w:rPr>
        <w:t>其他</w:t>
      </w:r>
      <w:r>
        <w:rPr>
          <w:rFonts w:ascii="微软简仿宋" w:eastAsia="微软简仿宋" w:hint="eastAsia"/>
          <w:color w:val="000000"/>
          <w:szCs w:val="21"/>
        </w:rPr>
        <w:t>销售相关</w:t>
      </w:r>
      <w:r>
        <w:rPr>
          <w:rFonts w:ascii="微软简仿宋" w:eastAsia="微软简仿宋"/>
          <w:color w:val="000000"/>
          <w:szCs w:val="21"/>
        </w:rPr>
        <w:t>费用</w:t>
      </w:r>
      <w:r>
        <w:rPr>
          <w:rFonts w:ascii="微软简仿宋" w:eastAsia="微软简仿宋" w:hint="eastAsia"/>
          <w:color w:val="000000"/>
          <w:szCs w:val="21"/>
        </w:rPr>
        <w:t>的</w:t>
      </w:r>
      <w:r>
        <w:rPr>
          <w:rFonts w:ascii="微软简仿宋" w:eastAsia="微软简仿宋"/>
          <w:color w:val="000000"/>
          <w:szCs w:val="21"/>
        </w:rPr>
        <w:t>具体</w:t>
      </w:r>
      <w:r>
        <w:rPr>
          <w:rFonts w:ascii="微软简仿宋" w:eastAsia="微软简仿宋" w:hint="eastAsia"/>
          <w:color w:val="000000"/>
          <w:szCs w:val="21"/>
        </w:rPr>
        <w:t>收费标准及方式在理财</w:t>
      </w:r>
      <w:r>
        <w:rPr>
          <w:rFonts w:ascii="微软简仿宋" w:eastAsia="微软简仿宋"/>
          <w:color w:val="000000"/>
          <w:szCs w:val="21"/>
        </w:rPr>
        <w:t>产品</w:t>
      </w:r>
      <w:r>
        <w:rPr>
          <w:rFonts w:ascii="微软简仿宋" w:eastAsia="微软简仿宋" w:hint="eastAsia"/>
          <w:color w:val="000000"/>
          <w:szCs w:val="21"/>
        </w:rPr>
        <w:t>说明书中列示。乙方可能调整费率或收费方式，并将依照理财</w:t>
      </w:r>
      <w:r>
        <w:rPr>
          <w:rFonts w:ascii="微软简仿宋" w:eastAsia="微软简仿宋"/>
          <w:color w:val="000000"/>
          <w:szCs w:val="21"/>
        </w:rPr>
        <w:t>产品</w:t>
      </w:r>
      <w:r>
        <w:rPr>
          <w:rFonts w:ascii="微软简仿宋" w:eastAsia="微软简仿宋" w:hint="eastAsia"/>
          <w:color w:val="000000"/>
          <w:szCs w:val="21"/>
        </w:rPr>
        <w:t>销售</w:t>
      </w:r>
      <w:r>
        <w:rPr>
          <w:rFonts w:ascii="微软简仿宋" w:eastAsia="微软简仿宋"/>
          <w:color w:val="000000"/>
          <w:szCs w:val="21"/>
        </w:rPr>
        <w:t>文件</w:t>
      </w:r>
      <w:r>
        <w:rPr>
          <w:rFonts w:ascii="微软简仿宋" w:eastAsia="微软简仿宋" w:hint="eastAsia"/>
          <w:color w:val="000000"/>
          <w:szCs w:val="21"/>
        </w:rPr>
        <w:t>的</w:t>
      </w:r>
      <w:r>
        <w:rPr>
          <w:rFonts w:ascii="微软简仿宋" w:eastAsia="微软简仿宋"/>
          <w:color w:val="000000"/>
          <w:szCs w:val="21"/>
        </w:rPr>
        <w:t>约定</w:t>
      </w:r>
      <w:r>
        <w:rPr>
          <w:rFonts w:ascii="微软简仿宋" w:eastAsia="微软简仿宋" w:hint="eastAsia"/>
          <w:color w:val="000000"/>
          <w:szCs w:val="21"/>
        </w:rPr>
        <w:t>进行公告。</w:t>
      </w:r>
    </w:p>
    <w:p w14:paraId="2E21E4DF"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（三）拒绝或暂停办理认（申）购、赎回的情形</w:t>
      </w:r>
    </w:p>
    <w:p w14:paraId="655608D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1</w:t>
      </w:r>
      <w:r>
        <w:rPr>
          <w:rFonts w:ascii="微软简仿宋" w:eastAsia="微软简仿宋" w:hint="eastAsia"/>
          <w:bCs/>
          <w:color w:val="000000"/>
          <w:szCs w:val="21"/>
        </w:rPr>
        <w:t>．</w:t>
      </w:r>
      <w:r>
        <w:rPr>
          <w:rFonts w:ascii="微软简仿宋" w:eastAsia="微软简仿宋" w:hint="eastAsia"/>
          <w:color w:val="000000"/>
          <w:szCs w:val="21"/>
        </w:rPr>
        <w:t>如乙方认为继续认购、申购、赎回可能影响到投资者利益时，乙方有权按说明书约定暂停认购、申购、赎回，并履行信息披露义务。</w:t>
      </w:r>
    </w:p>
    <w:p w14:paraId="309D108B"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因不可抗力原因导致理财产品无法正常运作时，乙方有权按说明书约定暂停认购、申购、赎回。乙方暂停或者开放认（申）购、赎回等业务的，将按照理财</w:t>
      </w:r>
      <w:r>
        <w:rPr>
          <w:rFonts w:ascii="微软简仿宋" w:eastAsia="微软简仿宋"/>
          <w:color w:val="000000"/>
          <w:szCs w:val="21"/>
        </w:rPr>
        <w:t>产品销售文件</w:t>
      </w:r>
      <w:r>
        <w:rPr>
          <w:rFonts w:ascii="微软简仿宋" w:eastAsia="微软简仿宋" w:hint="eastAsia"/>
          <w:color w:val="000000"/>
          <w:szCs w:val="21"/>
        </w:rPr>
        <w:t>约定，向</w:t>
      </w:r>
      <w:r>
        <w:rPr>
          <w:rFonts w:ascii="微软简仿宋" w:eastAsia="微软简仿宋"/>
          <w:color w:val="000000"/>
          <w:szCs w:val="21"/>
        </w:rPr>
        <w:t>投资者</w:t>
      </w:r>
      <w:r>
        <w:rPr>
          <w:rFonts w:ascii="微软简仿宋" w:eastAsia="微软简仿宋" w:hint="eastAsia"/>
          <w:color w:val="000000"/>
          <w:szCs w:val="21"/>
        </w:rPr>
        <w:t>说明具体原因和依据。</w:t>
      </w:r>
    </w:p>
    <w:p w14:paraId="14907D70"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（四）巨额赎回的情形及处理方式</w:t>
      </w:r>
    </w:p>
    <w:p w14:paraId="0628FC7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开放式理财产品发生巨额赎回的，乙方当日办理的赎回份额不低于前一日日终理财产品总份额的10%。乙方有权按说明书约定对其余的赎回申请采取暂停接受、延期办理、延缓支付赎回款项等应对措施，并将履行信息披露义务。</w:t>
      </w:r>
    </w:p>
    <w:p w14:paraId="6D6A45B5"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（五）理财</w:t>
      </w:r>
      <w:r>
        <w:rPr>
          <w:rFonts w:ascii="微软简仿宋" w:eastAsia="微软简仿宋"/>
          <w:color w:val="000000"/>
          <w:szCs w:val="21"/>
        </w:rPr>
        <w:t>产品</w:t>
      </w:r>
      <w:r>
        <w:rPr>
          <w:rFonts w:ascii="微软简仿宋" w:eastAsia="微软简仿宋" w:hint="eastAsia"/>
          <w:color w:val="000000"/>
          <w:szCs w:val="21"/>
        </w:rPr>
        <w:t>份额的冻结和解冻</w:t>
      </w:r>
    </w:p>
    <w:p w14:paraId="210120D9"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乙方只受理国家有权机关依法要求的理财</w:t>
      </w:r>
      <w:r>
        <w:rPr>
          <w:rFonts w:ascii="微软简仿宋" w:eastAsia="微软简仿宋"/>
          <w:color w:val="000000"/>
          <w:szCs w:val="21"/>
        </w:rPr>
        <w:t>产品</w:t>
      </w:r>
      <w:r>
        <w:rPr>
          <w:rFonts w:ascii="微软简仿宋" w:eastAsia="微软简仿宋" w:hint="eastAsia"/>
          <w:color w:val="000000"/>
          <w:szCs w:val="21"/>
        </w:rPr>
        <w:t>份额的冻结与解冻，以及乙方认可并符合法律法规、监管规定的其他情况下的冻结与解冻。</w:t>
      </w:r>
    </w:p>
    <w:p w14:paraId="4355F47B"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份额被冻结的，被冻结部分产生的权益一并冻结，被冻结部分份额仍然参与收益分配。法律法规、监管规定另有规定的除外。</w:t>
      </w:r>
    </w:p>
    <w:p w14:paraId="5390EFBE"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六、权利及义务</w:t>
      </w:r>
    </w:p>
    <w:p w14:paraId="7A4A3CCA"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（一）甲方的权利</w:t>
      </w:r>
    </w:p>
    <w:p w14:paraId="0D0AF96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有权</w:t>
      </w:r>
      <w:r>
        <w:rPr>
          <w:rFonts w:ascii="微软简仿宋" w:eastAsia="微软简仿宋" w:hAnsi="微软简仿宋" w:cs="微软简仿宋" w:hint="eastAsia"/>
          <w:color w:val="000000"/>
          <w:szCs w:val="21"/>
        </w:rPr>
        <w:t>按照销售文件的约定获取理财产品财产收益。</w:t>
      </w:r>
    </w:p>
    <w:p w14:paraId="790E02EF"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2．甲方有权按销售文件约定</w:t>
      </w:r>
      <w:r>
        <w:rPr>
          <w:rFonts w:ascii="微软简仿宋" w:eastAsia="微软简仿宋" w:hint="eastAsia"/>
          <w:color w:val="000000"/>
          <w:szCs w:val="21"/>
        </w:rPr>
        <w:t>申请赎回其持有的理财产品份额。</w:t>
      </w:r>
    </w:p>
    <w:p w14:paraId="29937EF7"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．甲方有权</w:t>
      </w:r>
      <w:r>
        <w:rPr>
          <w:rFonts w:ascii="微软简仿宋" w:eastAsia="微软简仿宋" w:hint="eastAsia"/>
          <w:color w:val="000000"/>
          <w:szCs w:val="21"/>
        </w:rPr>
        <w:t>了解</w:t>
      </w:r>
      <w:r>
        <w:rPr>
          <w:rFonts w:ascii="微软简仿宋" w:eastAsia="微软简仿宋"/>
          <w:color w:val="000000"/>
          <w:szCs w:val="21"/>
        </w:rPr>
        <w:t>理财产品</w:t>
      </w:r>
      <w:r>
        <w:rPr>
          <w:rFonts w:ascii="微软简仿宋" w:eastAsia="微软简仿宋" w:hint="eastAsia"/>
          <w:color w:val="000000"/>
          <w:szCs w:val="21"/>
        </w:rPr>
        <w:t>基本</w:t>
      </w:r>
      <w:r>
        <w:rPr>
          <w:rFonts w:ascii="微软简仿宋" w:eastAsia="微软简仿宋"/>
          <w:color w:val="000000"/>
          <w:szCs w:val="21"/>
        </w:rPr>
        <w:t>情况，</w:t>
      </w:r>
      <w:r>
        <w:rPr>
          <w:rFonts w:ascii="微软简仿宋" w:eastAsia="微软简仿宋" w:hint="eastAsia"/>
          <w:color w:val="000000"/>
          <w:szCs w:val="21"/>
        </w:rPr>
        <w:t>按销售文件约定</w:t>
      </w:r>
      <w:r>
        <w:rPr>
          <w:rFonts w:ascii="微软简仿宋" w:eastAsia="微软简仿宋"/>
          <w:color w:val="000000"/>
          <w:szCs w:val="21"/>
        </w:rPr>
        <w:t>获取理财产品</w:t>
      </w:r>
      <w:r>
        <w:rPr>
          <w:rFonts w:ascii="微软简仿宋" w:eastAsia="微软简仿宋" w:hint="eastAsia"/>
          <w:color w:val="000000"/>
          <w:szCs w:val="21"/>
        </w:rPr>
        <w:t>相关</w:t>
      </w:r>
      <w:r>
        <w:rPr>
          <w:rFonts w:ascii="微软简仿宋" w:eastAsia="微软简仿宋"/>
          <w:color w:val="000000"/>
          <w:szCs w:val="21"/>
        </w:rPr>
        <w:t>信息</w:t>
      </w:r>
      <w:r>
        <w:rPr>
          <w:rFonts w:ascii="微软简仿宋" w:eastAsia="微软简仿宋" w:hint="eastAsia"/>
          <w:color w:val="000000"/>
          <w:szCs w:val="21"/>
        </w:rPr>
        <w:t>。</w:t>
      </w:r>
    </w:p>
    <w:p w14:paraId="1A7A9230"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甲方购买乙方发行管理的私募理财产品，可按销售文件约定享有不少于24小时的投资冷静期。在冷静期内，如甲方改变投资决定，应立即在投资冷静期内撤销认/申购的申请，销售机构应按约定退还客户款项。</w:t>
      </w:r>
    </w:p>
    <w:p w14:paraId="6B4707B6"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（二）甲方的义务</w:t>
      </w:r>
    </w:p>
    <w:p w14:paraId="1EFFCDE0"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．甲方应认真阅读理财</w:t>
      </w:r>
      <w:r>
        <w:rPr>
          <w:rFonts w:ascii="微软简仿宋" w:eastAsia="微软简仿宋" w:hAnsi="微软简仿宋" w:cs="微软简仿宋"/>
          <w:color w:val="000000"/>
          <w:szCs w:val="21"/>
        </w:rPr>
        <w:t>产品销售</w:t>
      </w:r>
      <w:r>
        <w:rPr>
          <w:rFonts w:ascii="微软简仿宋" w:eastAsia="微软简仿宋" w:hAnsi="微软简仿宋" w:cs="微软简仿宋" w:hint="eastAsia"/>
          <w:color w:val="000000"/>
          <w:szCs w:val="21"/>
        </w:rPr>
        <w:t>文件，遵守</w:t>
      </w:r>
      <w:r>
        <w:rPr>
          <w:rFonts w:ascii="微软简仿宋" w:eastAsia="微软简仿宋" w:hAnsi="微软简仿宋" w:cs="微软简仿宋"/>
          <w:color w:val="000000"/>
          <w:szCs w:val="21"/>
        </w:rPr>
        <w:t>协议约定</w:t>
      </w:r>
      <w:r>
        <w:rPr>
          <w:rFonts w:ascii="微软简仿宋" w:eastAsia="微软简仿宋" w:hAnsi="微软简仿宋" w:cs="微软简仿宋" w:hint="eastAsia"/>
          <w:color w:val="000000"/>
          <w:szCs w:val="21"/>
        </w:rPr>
        <w:t>。</w:t>
      </w:r>
    </w:p>
    <w:p w14:paraId="5689CE7C"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2．甲方应充分了解所投资理财产品，充分了解自身风险承受能力，对理财产品的投资价值进行独立判断，自主做出投资决策，</w:t>
      </w:r>
      <w:r>
        <w:rPr>
          <w:rFonts w:ascii="微软简仿宋" w:eastAsia="微软简仿宋" w:hAnsi="微软简仿宋" w:cs="微软简仿宋"/>
          <w:color w:val="000000"/>
          <w:szCs w:val="21"/>
        </w:rPr>
        <w:t>获取投资收益</w:t>
      </w:r>
      <w:r>
        <w:rPr>
          <w:rFonts w:ascii="微软简仿宋" w:eastAsia="微软简仿宋" w:hAnsi="微软简仿宋" w:cs="微软简仿宋" w:hint="eastAsia"/>
          <w:color w:val="000000"/>
          <w:szCs w:val="21"/>
        </w:rPr>
        <w:t>并承担可能</w:t>
      </w:r>
      <w:r>
        <w:rPr>
          <w:rFonts w:ascii="微软简仿宋" w:eastAsia="微软简仿宋" w:hAnsi="微软简仿宋" w:cs="微软简仿宋"/>
          <w:color w:val="000000"/>
          <w:szCs w:val="21"/>
        </w:rPr>
        <w:t>的</w:t>
      </w:r>
      <w:r>
        <w:rPr>
          <w:rFonts w:ascii="微软简仿宋" w:eastAsia="微软简仿宋" w:hAnsi="微软简仿宋" w:cs="微软简仿宋" w:hint="eastAsia"/>
          <w:color w:val="000000"/>
          <w:szCs w:val="21"/>
        </w:rPr>
        <w:t>投资风险。</w:t>
      </w:r>
    </w:p>
    <w:p w14:paraId="7FC34927"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3</w:t>
      </w:r>
      <w:r>
        <w:rPr>
          <w:rFonts w:ascii="微软简仿宋" w:eastAsia="微软简仿宋" w:hAnsi="微软简仿宋" w:cs="微软简仿宋" w:hint="eastAsia"/>
          <w:color w:val="000000"/>
          <w:szCs w:val="21"/>
        </w:rPr>
        <w:t>．甲方</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及时、</w:t>
      </w:r>
      <w:r>
        <w:rPr>
          <w:rFonts w:ascii="微软简仿宋" w:eastAsia="微软简仿宋" w:hAnsi="微软简仿宋" w:cs="微软简仿宋"/>
          <w:color w:val="000000"/>
          <w:szCs w:val="21"/>
        </w:rPr>
        <w:t>主动</w:t>
      </w:r>
      <w:r>
        <w:rPr>
          <w:rFonts w:ascii="微软简仿宋" w:eastAsia="微软简仿宋" w:hAnsi="微软简仿宋" w:cs="微软简仿宋" w:hint="eastAsia"/>
          <w:color w:val="000000"/>
          <w:szCs w:val="21"/>
        </w:rPr>
        <w:t>获取理财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披露信息。</w:t>
      </w:r>
    </w:p>
    <w:p w14:paraId="01DA62C5"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．甲方如存在</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、有权机关或主管机关禁止或限制购买理财产品的各种情形，或其购买理财产品的行为违反其公司章程或其他文件的任何限制性规定，</w:t>
      </w:r>
      <w:r>
        <w:rPr>
          <w:rFonts w:ascii="微软简仿宋" w:eastAsia="微软简仿宋" w:hAnsi="微软简仿宋" w:cs="微软简仿宋"/>
          <w:color w:val="000000"/>
          <w:szCs w:val="21"/>
        </w:rPr>
        <w:t>应</w:t>
      </w:r>
      <w:r>
        <w:rPr>
          <w:rFonts w:ascii="微软简仿宋" w:eastAsia="微软简仿宋" w:hAnsi="微软简仿宋" w:cs="微软简仿宋" w:hint="eastAsia"/>
          <w:color w:val="000000"/>
          <w:szCs w:val="21"/>
        </w:rPr>
        <w:t>明确</w:t>
      </w:r>
      <w:r>
        <w:rPr>
          <w:rFonts w:ascii="微软简仿宋" w:eastAsia="微软简仿宋" w:hAnsi="微软简仿宋" w:cs="微软简仿宋"/>
          <w:color w:val="000000"/>
          <w:szCs w:val="21"/>
        </w:rPr>
        <w:t>告知乙方并停止继续购买理财产品</w:t>
      </w:r>
      <w:r>
        <w:rPr>
          <w:rFonts w:ascii="微软简仿宋" w:eastAsia="微软简仿宋" w:hAnsi="微软简仿宋" w:cs="微软简仿宋" w:hint="eastAsia"/>
          <w:color w:val="000000"/>
          <w:szCs w:val="21"/>
        </w:rPr>
        <w:t>。</w:t>
      </w:r>
    </w:p>
    <w:p w14:paraId="320BCDF3"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5</w:t>
      </w:r>
      <w:r>
        <w:rPr>
          <w:rFonts w:ascii="微软简仿宋" w:eastAsia="微软简仿宋" w:hAnsi="微软简仿宋" w:cs="微软简仿宋" w:hint="eastAsia"/>
          <w:b/>
          <w:bCs/>
          <w:color w:val="000000"/>
          <w:szCs w:val="21"/>
        </w:rPr>
        <w:t>．甲方在乙方或代销机构开通的网上银行、手机银行或其他电子渠道进行理财</w:t>
      </w:r>
      <w:r>
        <w:rPr>
          <w:rFonts w:ascii="微软简仿宋" w:eastAsia="微软简仿宋" w:hAnsi="微软简仿宋" w:cs="微软简仿宋"/>
          <w:b/>
          <w:bCs/>
          <w:color w:val="000000"/>
          <w:szCs w:val="21"/>
        </w:rPr>
        <w:t>产品</w:t>
      </w:r>
      <w:r>
        <w:rPr>
          <w:rFonts w:ascii="微软简仿宋" w:eastAsia="微软简仿宋" w:hAnsi="微软简仿宋" w:cs="微软简仿宋" w:hint="eastAsia"/>
          <w:b/>
          <w:bCs/>
          <w:color w:val="000000"/>
          <w:szCs w:val="21"/>
        </w:rPr>
        <w:t>认</w:t>
      </w:r>
      <w:r>
        <w:rPr>
          <w:rFonts w:ascii="微软简仿宋" w:eastAsia="微软简仿宋" w:hAnsi="微软简仿宋" w:cs="微软简仿宋"/>
          <w:b/>
          <w:bCs/>
          <w:color w:val="000000"/>
          <w:szCs w:val="21"/>
        </w:rPr>
        <w:t>/</w:t>
      </w:r>
      <w:r>
        <w:rPr>
          <w:rFonts w:ascii="微软简仿宋" w:eastAsia="微软简仿宋" w:hAnsi="微软简仿宋" w:cs="微软简仿宋" w:hint="eastAsia"/>
          <w:b/>
          <w:bCs/>
          <w:color w:val="000000"/>
          <w:szCs w:val="21"/>
        </w:rPr>
        <w:t>申购、赎回</w:t>
      </w:r>
      <w:r>
        <w:rPr>
          <w:rFonts w:ascii="微软简仿宋" w:eastAsia="微软简仿宋" w:hAnsi="微软简仿宋" w:cs="微软简仿宋"/>
          <w:b/>
          <w:bCs/>
          <w:color w:val="000000"/>
          <w:szCs w:val="21"/>
        </w:rPr>
        <w:t>或</w:t>
      </w:r>
      <w:r>
        <w:rPr>
          <w:rFonts w:ascii="微软简仿宋" w:eastAsia="微软简仿宋" w:hAnsi="微软简仿宋" w:cs="微软简仿宋" w:hint="eastAsia"/>
          <w:b/>
          <w:bCs/>
          <w:color w:val="000000"/>
          <w:szCs w:val="21"/>
        </w:rPr>
        <w:t>其他交易前，应认真阅读该电子渠道服务协议</w:t>
      </w:r>
      <w:r>
        <w:rPr>
          <w:rFonts w:ascii="微软简仿宋" w:eastAsia="微软简仿宋" w:hAnsi="微软简仿宋" w:cs="微软简仿宋"/>
          <w:b/>
          <w:bCs/>
          <w:color w:val="000000"/>
          <w:szCs w:val="21"/>
        </w:rPr>
        <w:t>或业务规则</w:t>
      </w:r>
      <w:r>
        <w:rPr>
          <w:rFonts w:ascii="微软简仿宋" w:eastAsia="微软简仿宋" w:hAnsi="微软简仿宋" w:cs="微软简仿宋" w:hint="eastAsia"/>
          <w:b/>
          <w:bCs/>
          <w:color w:val="000000"/>
          <w:szCs w:val="21"/>
        </w:rPr>
        <w:t>。</w:t>
      </w:r>
    </w:p>
    <w:p w14:paraId="09E8A778"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．甲方应以真实身份办理理财业务。甲方提供的姓名/名称、通信地址、联系方式等信息和资料均应真实、准确、完整、合法、有效。如发生任何变更，应</w:t>
      </w:r>
      <w:r>
        <w:rPr>
          <w:rFonts w:ascii="微软简仿宋" w:eastAsia="微软简仿宋" w:hAnsi="微软简仿宋" w:cs="微软简仿宋"/>
          <w:color w:val="000000"/>
          <w:szCs w:val="21"/>
        </w:rPr>
        <w:t>及时</w:t>
      </w:r>
      <w:r>
        <w:rPr>
          <w:rFonts w:ascii="微软简仿宋" w:eastAsia="微软简仿宋" w:hAnsi="微软简仿宋" w:cs="微软简仿宋" w:hint="eastAsia"/>
          <w:color w:val="000000"/>
          <w:szCs w:val="21"/>
        </w:rPr>
        <w:t>告知乙方或代销机构。</w:t>
      </w:r>
      <w:r>
        <w:rPr>
          <w:rFonts w:ascii="微软简仿宋" w:eastAsia="微软简仿宋" w:hAnsi="微软简仿宋" w:cs="微软简仿宋" w:hint="eastAsia"/>
          <w:b/>
          <w:bCs/>
          <w:color w:val="000000"/>
          <w:szCs w:val="21"/>
        </w:rPr>
        <w:t>若甲方未及时办理相关信息</w:t>
      </w:r>
      <w:r>
        <w:rPr>
          <w:rFonts w:ascii="微软简仿宋" w:eastAsia="微软简仿宋" w:hAnsi="微软简仿宋" w:cs="微软简仿宋"/>
          <w:b/>
          <w:bCs/>
          <w:color w:val="000000"/>
          <w:szCs w:val="21"/>
        </w:rPr>
        <w:t>或资料的</w:t>
      </w:r>
      <w:r>
        <w:rPr>
          <w:rFonts w:ascii="微软简仿宋" w:eastAsia="微软简仿宋" w:hAnsi="微软简仿宋" w:cs="微软简仿宋" w:hint="eastAsia"/>
          <w:b/>
          <w:bCs/>
          <w:color w:val="000000"/>
          <w:szCs w:val="21"/>
        </w:rPr>
        <w:t>变更，由此导致的一切后果由甲方自行承担，乙方不承担任何责任。</w:t>
      </w:r>
    </w:p>
    <w:p w14:paraId="3D6D55F3"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．甲方应妥善</w:t>
      </w:r>
      <w:r>
        <w:rPr>
          <w:rFonts w:ascii="微软简仿宋" w:eastAsia="微软简仿宋" w:hAnsi="微软简仿宋" w:cs="微软简仿宋"/>
          <w:color w:val="000000"/>
          <w:szCs w:val="21"/>
        </w:rPr>
        <w:t>保管</w:t>
      </w:r>
      <w:r>
        <w:rPr>
          <w:rFonts w:ascii="微软简仿宋" w:eastAsia="微软简仿宋" w:hAnsi="微软简仿宋" w:cs="微软简仿宋" w:hint="eastAsia"/>
          <w:color w:val="000000"/>
          <w:szCs w:val="21"/>
        </w:rPr>
        <w:t>账号、</w:t>
      </w:r>
      <w:r>
        <w:rPr>
          <w:rFonts w:ascii="微软简仿宋" w:eastAsia="微软简仿宋" w:hAnsi="微软简仿宋" w:cs="微软简仿宋"/>
          <w:color w:val="000000"/>
          <w:szCs w:val="21"/>
        </w:rPr>
        <w:t>密码</w:t>
      </w:r>
      <w:r>
        <w:rPr>
          <w:rFonts w:ascii="微软简仿宋" w:eastAsia="微软简仿宋" w:hAnsi="微软简仿宋" w:cs="微软简仿宋" w:hint="eastAsia"/>
          <w:color w:val="000000"/>
          <w:szCs w:val="21"/>
        </w:rPr>
        <w:t>等</w:t>
      </w:r>
      <w:r>
        <w:rPr>
          <w:rFonts w:ascii="微软简仿宋" w:eastAsia="微软简仿宋" w:hAnsi="微软简仿宋" w:cs="微软简仿宋"/>
          <w:color w:val="000000"/>
          <w:szCs w:val="21"/>
        </w:rPr>
        <w:t>身份认证</w:t>
      </w:r>
      <w:r>
        <w:rPr>
          <w:rFonts w:ascii="微软简仿宋" w:eastAsia="微软简仿宋" w:hAnsi="微软简仿宋" w:cs="微软简仿宋" w:hint="eastAsia"/>
          <w:color w:val="000000"/>
          <w:szCs w:val="21"/>
        </w:rPr>
        <w:t>要素。以</w:t>
      </w:r>
      <w:r>
        <w:rPr>
          <w:rFonts w:ascii="微软简仿宋" w:eastAsia="微软简仿宋" w:hAnsi="微软简仿宋" w:cs="微软简仿宋"/>
          <w:color w:val="000000"/>
          <w:szCs w:val="21"/>
        </w:rPr>
        <w:t>甲方</w:t>
      </w:r>
      <w:r>
        <w:rPr>
          <w:rFonts w:ascii="微软简仿宋" w:eastAsia="微软简仿宋" w:hAnsi="微软简仿宋" w:cs="微软简仿宋" w:hint="eastAsia"/>
          <w:color w:val="000000"/>
          <w:szCs w:val="21"/>
        </w:rPr>
        <w:t>相应身份认证要素进行的交易操作，甲方应认可并承担该交易操作的法律后果。</w:t>
      </w:r>
    </w:p>
    <w:p w14:paraId="26871D53"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b/>
          <w:bCs/>
          <w:color w:val="000000"/>
          <w:szCs w:val="21"/>
        </w:rPr>
        <w:t>8</w:t>
      </w:r>
      <w:r>
        <w:rPr>
          <w:rFonts w:ascii="微软简仿宋" w:eastAsia="微软简仿宋" w:hAnsi="微软简仿宋" w:cs="微软简仿宋" w:hint="eastAsia"/>
          <w:b/>
          <w:bCs/>
          <w:color w:val="000000"/>
          <w:szCs w:val="21"/>
        </w:rPr>
        <w:t>．甲方为非机构投资者，购买理财计划资金应为合法自有资金；甲方为机构投资者（含资产管理产品），购买理财计划资金应为合法自有资金或合法募集资金；甲方不存在使用贷款、发行债券等募集的非自有资金投资理财产品的情形（合法募集资金除外）。甲方承诺投资理财产品使用的资金来源合法合规，并且系为合法目的投资本理财产品，而非为洗钱等违法犯罪之目的。甲方应配合乙方及销售机构开展投资者身份识别及尽职调查，及时、真实、准确、完整提供身份信息及资金来源等信息。</w:t>
      </w:r>
    </w:p>
    <w:p w14:paraId="287CCF06"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9</w:t>
      </w:r>
      <w:r>
        <w:rPr>
          <w:rFonts w:ascii="微软简仿宋" w:eastAsia="微软简仿宋" w:hint="eastAsia"/>
          <w:b/>
          <w:bCs/>
          <w:color w:val="000000"/>
          <w:szCs w:val="21"/>
        </w:rPr>
        <w:t>．</w:t>
      </w:r>
      <w:r>
        <w:rPr>
          <w:rFonts w:ascii="微软简仿宋" w:eastAsia="微软简仿宋" w:hint="eastAsia"/>
          <w:b/>
          <w:color w:val="000000"/>
          <w:szCs w:val="21"/>
        </w:rPr>
        <w:t>甲方在理财产品全部赎回或兑付前，不得就原认（申）购时使用的银行账户办理销户。</w:t>
      </w:r>
    </w:p>
    <w:p w14:paraId="571ED2CC"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．甲方为机构</w:t>
      </w:r>
      <w:r>
        <w:rPr>
          <w:rFonts w:ascii="微软简仿宋" w:eastAsia="微软简仿宋" w:hint="eastAsia"/>
          <w:color w:val="000000"/>
          <w:szCs w:val="21"/>
        </w:rPr>
        <w:t>投资者</w:t>
      </w:r>
      <w:r>
        <w:rPr>
          <w:rFonts w:ascii="微软简仿宋" w:eastAsia="微软简仿宋" w:hAnsi="微软简仿宋" w:cs="微软简仿宋" w:hint="eastAsia"/>
          <w:color w:val="000000"/>
          <w:szCs w:val="21"/>
        </w:rPr>
        <w:t>时，应保证已按公司章程等有关规定和程序取得办理理财业务所需的充分授权，并保证该等授权合法并持续有效。</w:t>
      </w:r>
    </w:p>
    <w:p w14:paraId="5489D019"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b/>
          <w:bCs/>
          <w:color w:val="000000"/>
          <w:szCs w:val="21"/>
        </w:rPr>
      </w:pPr>
      <w:r>
        <w:rPr>
          <w:rFonts w:ascii="微软简仿宋" w:eastAsia="微软简仿宋" w:hAnsi="微软简仿宋" w:cs="微软简仿宋" w:hint="eastAsia"/>
          <w:b/>
          <w:bCs/>
          <w:color w:val="000000"/>
          <w:szCs w:val="21"/>
        </w:rPr>
        <w:t>11</w:t>
      </w:r>
      <w:r>
        <w:rPr>
          <w:rFonts w:ascii="微软简仿宋" w:eastAsia="微软简仿宋" w:hint="eastAsia"/>
          <w:bCs/>
          <w:color w:val="000000"/>
          <w:szCs w:val="21"/>
        </w:rPr>
        <w:t>．</w:t>
      </w:r>
      <w:r>
        <w:rPr>
          <w:rFonts w:ascii="微软简仿宋" w:eastAsia="微软简仿宋" w:hAnsi="微软简仿宋" w:cs="微软简仿宋" w:hint="eastAsia"/>
          <w:b/>
          <w:bCs/>
          <w:color w:val="000000"/>
          <w:szCs w:val="21"/>
        </w:rPr>
        <w:t>在产品存续期内，除非出现按照产品说明书约定终止理财产品的情形，否则不得要求乙方在产品非开放日前退还已扣款项或以任何形式清算其持有的理财产品份额。</w:t>
      </w:r>
    </w:p>
    <w:p w14:paraId="46012FD0"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（三）乙方的权利</w:t>
      </w:r>
    </w:p>
    <w:p w14:paraId="36942B82"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1．依法募集</w:t>
      </w:r>
      <w:r>
        <w:rPr>
          <w:rFonts w:ascii="微软简仿宋" w:eastAsia="微软简仿宋" w:hAnsi="微软简仿宋" w:cs="微软简仿宋"/>
          <w:color w:val="000000"/>
          <w:szCs w:val="21"/>
        </w:rPr>
        <w:t>理财资金</w:t>
      </w:r>
      <w:r>
        <w:rPr>
          <w:rFonts w:ascii="微软简仿宋" w:eastAsia="微软简仿宋" w:hAnsi="微软简仿宋" w:cs="微软简仿宋" w:hint="eastAsia"/>
          <w:color w:val="000000"/>
          <w:szCs w:val="21"/>
        </w:rPr>
        <w:t>。</w:t>
      </w:r>
    </w:p>
    <w:p w14:paraId="6D55F81C"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2</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产品成立后，</w:t>
      </w:r>
      <w:r>
        <w:rPr>
          <w:rFonts w:ascii="微软简仿宋" w:eastAsia="微软简仿宋" w:hAnsi="微软简仿宋" w:cs="微软简仿宋" w:hint="eastAsia"/>
          <w:color w:val="000000"/>
          <w:szCs w:val="21"/>
        </w:rPr>
        <w:t>根据</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和理财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独立运用并管理理财产品财产。</w:t>
      </w:r>
    </w:p>
    <w:p w14:paraId="161C3ADE"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产品销售文件约定</w:t>
      </w:r>
      <w:r>
        <w:rPr>
          <w:rFonts w:ascii="微软简仿宋" w:eastAsia="微软简仿宋" w:hAnsi="微软简仿宋" w:cs="微软简仿宋" w:hint="eastAsia"/>
          <w:color w:val="000000"/>
          <w:szCs w:val="21"/>
        </w:rPr>
        <w:t>，</w:t>
      </w:r>
      <w:r>
        <w:rPr>
          <w:rFonts w:ascii="微软简仿宋" w:eastAsia="微软简仿宋" w:hAnsi="微软简仿宋" w:cs="微软简仿宋"/>
          <w:color w:val="1E1E1E"/>
          <w:szCs w:val="21"/>
        </w:rPr>
        <w:t>收取</w:t>
      </w:r>
      <w:r>
        <w:rPr>
          <w:rFonts w:ascii="微软简仿宋" w:eastAsia="微软简仿宋" w:hAnsi="微软简仿宋" w:cs="微软简仿宋" w:hint="eastAsia"/>
          <w:color w:val="000000"/>
          <w:szCs w:val="21"/>
        </w:rPr>
        <w:t>管理费用。</w:t>
      </w:r>
    </w:p>
    <w:p w14:paraId="540B1151"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．依照有关规定行使因理财产品财产投资于证券所产生的权利。</w:t>
      </w:r>
    </w:p>
    <w:p w14:paraId="47A432E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5</w:t>
      </w:r>
      <w:r>
        <w:rPr>
          <w:rFonts w:ascii="微软简仿宋" w:eastAsia="微软简仿宋" w:hAnsi="微软简仿宋" w:cs="微软简仿宋" w:hint="eastAsia"/>
          <w:color w:val="000000"/>
          <w:szCs w:val="21"/>
        </w:rPr>
        <w:t>．选聘并</w:t>
      </w:r>
      <w:r>
        <w:rPr>
          <w:rFonts w:ascii="微软简仿宋" w:eastAsia="微软简仿宋" w:hint="eastAsia"/>
          <w:color w:val="000000"/>
          <w:szCs w:val="21"/>
        </w:rPr>
        <w:t>监督理财</w:t>
      </w:r>
      <w:r>
        <w:rPr>
          <w:rFonts w:ascii="微软简仿宋" w:eastAsia="微软简仿宋"/>
          <w:color w:val="000000"/>
          <w:szCs w:val="21"/>
        </w:rPr>
        <w:t>产品</w:t>
      </w:r>
      <w:r>
        <w:rPr>
          <w:rFonts w:ascii="微软简仿宋" w:eastAsia="微软简仿宋" w:hint="eastAsia"/>
          <w:color w:val="000000"/>
          <w:szCs w:val="21"/>
        </w:rPr>
        <w:t>托管人。</w:t>
      </w:r>
    </w:p>
    <w:p w14:paraId="0140D58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选择、更换代销机构，对代销机构的销售行为进行监督和管理。</w:t>
      </w:r>
    </w:p>
    <w:p w14:paraId="2F4B81B1"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7</w:t>
      </w:r>
      <w:r>
        <w:rPr>
          <w:rFonts w:ascii="微软简仿宋" w:eastAsia="微软简仿宋" w:hint="eastAsia"/>
          <w:bCs/>
          <w:color w:val="000000"/>
          <w:szCs w:val="21"/>
        </w:rPr>
        <w:t>．</w:t>
      </w:r>
      <w:r>
        <w:rPr>
          <w:rFonts w:ascii="微软简仿宋" w:eastAsia="微软简仿宋" w:hint="eastAsia"/>
          <w:color w:val="000000"/>
          <w:szCs w:val="21"/>
        </w:rPr>
        <w:t>为</w:t>
      </w:r>
      <w:r>
        <w:rPr>
          <w:rFonts w:ascii="微软简仿宋" w:eastAsia="微软简仿宋"/>
          <w:color w:val="000000"/>
          <w:szCs w:val="21"/>
        </w:rPr>
        <w:t>理财产品</w:t>
      </w:r>
      <w:r>
        <w:rPr>
          <w:rFonts w:ascii="微软简仿宋" w:eastAsia="微软简仿宋" w:hint="eastAsia"/>
          <w:color w:val="000000"/>
          <w:szCs w:val="21"/>
        </w:rPr>
        <w:t>选聘</w:t>
      </w:r>
      <w:r>
        <w:rPr>
          <w:rFonts w:ascii="微软简仿宋" w:eastAsia="微软简仿宋"/>
          <w:color w:val="000000"/>
          <w:szCs w:val="21"/>
        </w:rPr>
        <w:t>理财投资合作机构</w:t>
      </w:r>
      <w:r>
        <w:rPr>
          <w:rFonts w:ascii="微软简仿宋" w:eastAsia="微软简仿宋" w:hint="eastAsia"/>
          <w:color w:val="000000"/>
          <w:szCs w:val="21"/>
        </w:rPr>
        <w:t>；选聘、更换律师事务所、会计师事务所、证券经纪商或其他为理财</w:t>
      </w:r>
      <w:r>
        <w:rPr>
          <w:rFonts w:ascii="微软简仿宋" w:eastAsia="微软简仿宋"/>
          <w:color w:val="000000"/>
          <w:szCs w:val="21"/>
        </w:rPr>
        <w:t>产品</w:t>
      </w:r>
      <w:r>
        <w:rPr>
          <w:rFonts w:ascii="微软简仿宋" w:eastAsia="微软简仿宋" w:hint="eastAsia"/>
          <w:color w:val="000000"/>
          <w:szCs w:val="21"/>
        </w:rPr>
        <w:t>提供服务的外部机构。</w:t>
      </w:r>
    </w:p>
    <w:p w14:paraId="7EBB363E"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8．</w:t>
      </w:r>
      <w:r>
        <w:rPr>
          <w:rFonts w:ascii="微软简仿宋" w:eastAsia="微软简仿宋" w:hint="eastAsia"/>
          <w:color w:val="000000"/>
          <w:szCs w:val="21"/>
        </w:rPr>
        <w:t>依据</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及有关法律规定分配理财</w:t>
      </w:r>
      <w:r>
        <w:rPr>
          <w:rFonts w:ascii="微软简仿宋" w:eastAsia="微软简仿宋"/>
          <w:color w:val="000000"/>
          <w:szCs w:val="21"/>
        </w:rPr>
        <w:t>产品</w:t>
      </w:r>
      <w:r>
        <w:rPr>
          <w:rFonts w:ascii="微软简仿宋" w:eastAsia="微软简仿宋" w:hint="eastAsia"/>
          <w:color w:val="000000"/>
          <w:szCs w:val="21"/>
        </w:rPr>
        <w:t>收益。</w:t>
      </w:r>
    </w:p>
    <w:p w14:paraId="6F1CF726"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9．</w:t>
      </w:r>
      <w:r>
        <w:rPr>
          <w:rFonts w:ascii="微软简仿宋" w:eastAsia="微软简仿宋" w:hint="eastAsia"/>
          <w:color w:val="000000"/>
          <w:szCs w:val="21"/>
        </w:rPr>
        <w:t>在</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约定的权限范围内，拒绝或暂停受理认/申购与赎回申请。</w:t>
      </w:r>
    </w:p>
    <w:p w14:paraId="45425062"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Ansi="微软简仿宋" w:cs="微软简仿宋" w:hint="eastAsia"/>
          <w:b/>
          <w:bCs/>
          <w:color w:val="000000"/>
          <w:szCs w:val="21"/>
        </w:rPr>
        <w:t>10．全权负责理财产品财产运用及管理；有权代表理财及其全部投资人</w:t>
      </w:r>
      <w:r>
        <w:rPr>
          <w:rFonts w:ascii="微软简仿宋" w:eastAsia="微软简仿宋" w:hint="eastAsia"/>
          <w:b/>
          <w:bCs/>
          <w:color w:val="000000"/>
          <w:szCs w:val="21"/>
        </w:rPr>
        <w:t>行使因理财</w:t>
      </w:r>
      <w:r>
        <w:rPr>
          <w:rFonts w:ascii="微软简仿宋" w:eastAsia="微软简仿宋"/>
          <w:b/>
          <w:bCs/>
          <w:color w:val="000000"/>
          <w:szCs w:val="21"/>
        </w:rPr>
        <w:t>产品</w:t>
      </w:r>
      <w:r>
        <w:rPr>
          <w:rFonts w:ascii="微软简仿宋" w:eastAsia="微软简仿宋" w:hint="eastAsia"/>
          <w:b/>
          <w:bCs/>
          <w:color w:val="000000"/>
          <w:szCs w:val="21"/>
        </w:rPr>
        <w:t>财产投资于证券所产生的权利，包括对相关事项进行表决；有权按照法律法规、监管规定以及投资相关的法律文件约定处置理财产品投资产生的风险资产，处置方式包括但不限于转让、重组、债转股、资产证券化、破产重组等；有权以理财</w:t>
      </w:r>
      <w:r>
        <w:rPr>
          <w:rFonts w:ascii="微软简仿宋" w:eastAsia="微软简仿宋"/>
          <w:b/>
          <w:bCs/>
          <w:color w:val="000000"/>
          <w:szCs w:val="21"/>
        </w:rPr>
        <w:t>产品</w:t>
      </w:r>
      <w:r>
        <w:rPr>
          <w:rFonts w:ascii="微软简仿宋" w:eastAsia="微软简仿宋" w:hint="eastAsia"/>
          <w:b/>
          <w:bCs/>
          <w:color w:val="000000"/>
          <w:szCs w:val="21"/>
        </w:rPr>
        <w:t>管理人的名义，代表理财</w:t>
      </w:r>
      <w:r>
        <w:rPr>
          <w:rFonts w:ascii="微软简仿宋" w:eastAsia="微软简仿宋"/>
          <w:b/>
          <w:bCs/>
          <w:color w:val="000000"/>
          <w:szCs w:val="21"/>
        </w:rPr>
        <w:t>产品投资者</w:t>
      </w:r>
      <w:r>
        <w:rPr>
          <w:rFonts w:ascii="微软简仿宋" w:eastAsia="微软简仿宋" w:hint="eastAsia"/>
          <w:b/>
          <w:bCs/>
          <w:color w:val="000000"/>
          <w:szCs w:val="21"/>
        </w:rPr>
        <w:t>的利益行使诉讼权利或者实施其他法律行为；为理财</w:t>
      </w:r>
      <w:r>
        <w:rPr>
          <w:rFonts w:ascii="微软简仿宋" w:eastAsia="微软简仿宋"/>
          <w:b/>
          <w:bCs/>
          <w:color w:val="000000"/>
          <w:szCs w:val="21"/>
        </w:rPr>
        <w:t>产品</w:t>
      </w:r>
      <w:r>
        <w:rPr>
          <w:rFonts w:ascii="微软简仿宋" w:eastAsia="微软简仿宋" w:hint="eastAsia"/>
          <w:b/>
          <w:bCs/>
          <w:color w:val="000000"/>
          <w:szCs w:val="21"/>
        </w:rPr>
        <w:t>的利益依法进行融资、融券及转融通证券出借业务。</w:t>
      </w:r>
    </w:p>
    <w:p w14:paraId="1C12A8E1"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11．</w:t>
      </w:r>
      <w:r>
        <w:rPr>
          <w:rFonts w:ascii="微软简仿宋" w:eastAsia="微软简仿宋" w:hint="eastAsia"/>
          <w:color w:val="000000"/>
          <w:szCs w:val="21"/>
        </w:rPr>
        <w:t>在符合法律法规、监管规定的前提下，制订和调整有关理财</w:t>
      </w:r>
      <w:r>
        <w:rPr>
          <w:rFonts w:ascii="微软简仿宋" w:eastAsia="微软简仿宋"/>
          <w:color w:val="000000"/>
          <w:szCs w:val="21"/>
        </w:rPr>
        <w:t>产品</w:t>
      </w:r>
      <w:r>
        <w:rPr>
          <w:rFonts w:ascii="微软简仿宋" w:eastAsia="微软简仿宋" w:hint="eastAsia"/>
          <w:color w:val="000000"/>
          <w:szCs w:val="21"/>
        </w:rPr>
        <w:t>认购、申购、赎回、转换、非交易过户和收益分配等业务规则。</w:t>
      </w:r>
    </w:p>
    <w:p w14:paraId="12E57B16"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12</w:t>
      </w:r>
      <w:r>
        <w:rPr>
          <w:rFonts w:ascii="微软简仿宋" w:eastAsia="微软简仿宋" w:hint="eastAsia"/>
          <w:b/>
          <w:bCs/>
          <w:color w:val="000000"/>
          <w:szCs w:val="21"/>
        </w:rPr>
        <w:t>．</w:t>
      </w:r>
      <w:r>
        <w:rPr>
          <w:rFonts w:ascii="微软简仿宋" w:eastAsia="微软简仿宋" w:hint="eastAsia"/>
          <w:b/>
          <w:color w:val="000000"/>
          <w:szCs w:val="21"/>
        </w:rPr>
        <w:t>乙方或代销机构发现或有合理理由怀疑甲方存在洗钱、恐怖融资、逃税等嫌疑，乙方有权提前终止本协议，由此造成甲方损失的，乙方不承担责任。</w:t>
      </w:r>
    </w:p>
    <w:p w14:paraId="08AFA914"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13．</w:t>
      </w:r>
      <w:r>
        <w:rPr>
          <w:rFonts w:ascii="微软简仿宋" w:eastAsia="微软简仿宋" w:hint="eastAsia"/>
          <w:color w:val="000000"/>
          <w:szCs w:val="21"/>
        </w:rPr>
        <w:t>法律法规、监管规定、</w:t>
      </w:r>
      <w:r>
        <w:rPr>
          <w:rFonts w:ascii="微软简仿宋" w:eastAsia="微软简仿宋" w:hAnsi="微软简仿宋" w:cs="微软简仿宋" w:hint="eastAsia"/>
          <w:color w:val="000000"/>
          <w:szCs w:val="21"/>
        </w:rPr>
        <w:t>理财</w:t>
      </w:r>
      <w:r>
        <w:rPr>
          <w:rFonts w:ascii="微软简仿宋" w:eastAsia="微软简仿宋" w:hAnsi="微软简仿宋" w:cs="微软简仿宋"/>
          <w:color w:val="000000"/>
          <w:szCs w:val="21"/>
        </w:rPr>
        <w:t>产品销售文件</w:t>
      </w:r>
      <w:r>
        <w:rPr>
          <w:rFonts w:ascii="微软简仿宋" w:eastAsia="微软简仿宋" w:hint="eastAsia"/>
          <w:color w:val="000000"/>
          <w:szCs w:val="21"/>
        </w:rPr>
        <w:t>赋予乙方的其他权利。</w:t>
      </w:r>
    </w:p>
    <w:p w14:paraId="55F60C93"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（四）乙方的义务：</w:t>
      </w:r>
    </w:p>
    <w:p w14:paraId="5B4D58F7"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．依法募集资金，办理产品份额的发售和登记事宜。</w:t>
      </w:r>
    </w:p>
    <w:p w14:paraId="415AD558"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．发行</w:t>
      </w:r>
      <w:r>
        <w:rPr>
          <w:rFonts w:ascii="微软简仿宋" w:eastAsia="微软简仿宋" w:hAnsi="微软简仿宋" w:cs="微软简仿宋"/>
          <w:color w:val="000000"/>
          <w:szCs w:val="21"/>
        </w:rPr>
        <w:t>理财产品，</w:t>
      </w:r>
      <w:r>
        <w:rPr>
          <w:rFonts w:ascii="微软简仿宋" w:eastAsia="微软简仿宋" w:hAnsi="微软简仿宋" w:cs="微软简仿宋" w:hint="eastAsia"/>
          <w:color w:val="000000"/>
          <w:szCs w:val="21"/>
        </w:rPr>
        <w:t>办理理财产品的登记</w:t>
      </w:r>
      <w:r>
        <w:rPr>
          <w:rFonts w:ascii="微软简仿宋" w:eastAsia="微软简仿宋" w:hAnsi="微软简仿宋" w:cs="微软简仿宋"/>
          <w:color w:val="000000"/>
          <w:szCs w:val="21"/>
        </w:rPr>
        <w:t>备案</w:t>
      </w:r>
      <w:r>
        <w:rPr>
          <w:rFonts w:ascii="微软简仿宋" w:eastAsia="微软简仿宋" w:hAnsi="微软简仿宋" w:cs="微软简仿宋" w:hint="eastAsia"/>
          <w:color w:val="000000"/>
          <w:szCs w:val="21"/>
        </w:rPr>
        <w:t>。</w:t>
      </w:r>
    </w:p>
    <w:p w14:paraId="54B77419"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3</w:t>
      </w:r>
      <w:r>
        <w:rPr>
          <w:rFonts w:ascii="微软简仿宋" w:eastAsia="微软简仿宋" w:hAnsi="微软简仿宋" w:cs="微软简仿宋" w:hint="eastAsia"/>
          <w:color w:val="000000"/>
          <w:szCs w:val="21"/>
        </w:rPr>
        <w:t>．对所管理的不同理财产品受托财产分别管理、分别记账，进行投资。</w:t>
      </w:r>
    </w:p>
    <w:p w14:paraId="1CEDC8D6"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4</w:t>
      </w:r>
      <w:r>
        <w:rPr>
          <w:rFonts w:ascii="微软简仿宋" w:eastAsia="微软简仿宋" w:hAnsi="微软简仿宋" w:cs="微软简仿宋" w:hint="eastAsia"/>
          <w:color w:val="000000"/>
          <w:szCs w:val="21"/>
        </w:rPr>
        <w:t>．按照理财</w:t>
      </w:r>
      <w:r>
        <w:rPr>
          <w:rFonts w:ascii="微软简仿宋" w:eastAsia="微软简仿宋" w:hAnsi="微软简仿宋" w:cs="微软简仿宋"/>
          <w:color w:val="000000"/>
          <w:szCs w:val="21"/>
        </w:rPr>
        <w:t>产品销售文件</w:t>
      </w:r>
      <w:r>
        <w:rPr>
          <w:rFonts w:ascii="微软简仿宋" w:eastAsia="微软简仿宋" w:hAnsi="微软简仿宋" w:cs="微软简仿宋" w:hint="eastAsia"/>
          <w:color w:val="000000"/>
          <w:szCs w:val="21"/>
        </w:rPr>
        <w:t>的约定确定收益分配方案，及时向投资者分配收益。</w:t>
      </w:r>
    </w:p>
    <w:p w14:paraId="693E86D7"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lastRenderedPageBreak/>
        <w:t>5</w:t>
      </w:r>
      <w:r>
        <w:rPr>
          <w:rFonts w:ascii="微软简仿宋" w:eastAsia="微软简仿宋" w:hAnsi="微软简仿宋" w:cs="微软简仿宋" w:hint="eastAsia"/>
          <w:color w:val="000000"/>
          <w:szCs w:val="21"/>
        </w:rPr>
        <w:t>．进行理财产品的会计核算并编制产品财务会计报告。</w:t>
      </w:r>
    </w:p>
    <w:p w14:paraId="1EC7E2CA"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6</w:t>
      </w:r>
      <w:r>
        <w:rPr>
          <w:rFonts w:ascii="微软简仿宋" w:eastAsia="微软简仿宋" w:hAnsi="微软简仿宋" w:cs="微软简仿宋" w:hint="eastAsia"/>
          <w:color w:val="000000"/>
          <w:szCs w:val="21"/>
        </w:rPr>
        <w:t>．依法计算并披露理财产品净值或者投资收益情况，确定申购、赎回价格。</w:t>
      </w:r>
    </w:p>
    <w:p w14:paraId="75541C72"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7</w:t>
      </w:r>
      <w:r>
        <w:rPr>
          <w:rFonts w:ascii="微软简仿宋" w:eastAsia="微软简仿宋" w:hAnsi="微软简仿宋" w:cs="微软简仿宋" w:hint="eastAsia"/>
          <w:color w:val="000000"/>
          <w:szCs w:val="21"/>
        </w:rPr>
        <w:t>．办理与理财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管理业务活动有关的信息披露事项。</w:t>
      </w:r>
    </w:p>
    <w:p w14:paraId="36D4430A"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8</w:t>
      </w:r>
      <w:r>
        <w:rPr>
          <w:rFonts w:ascii="微软简仿宋" w:eastAsia="微软简仿宋" w:hAnsi="微软简仿宋" w:cs="微软简仿宋" w:hint="eastAsia"/>
          <w:color w:val="000000"/>
          <w:szCs w:val="21"/>
        </w:rPr>
        <w:t>．保存理财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管理业务活动的记录、账册、报表和其他相关资料。</w:t>
      </w:r>
    </w:p>
    <w:p w14:paraId="081CB9C4"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9</w:t>
      </w:r>
      <w:r>
        <w:rPr>
          <w:rFonts w:ascii="微软简仿宋" w:eastAsia="微软简仿宋" w:hAnsi="微软简仿宋" w:cs="微软简仿宋" w:hint="eastAsia"/>
          <w:color w:val="000000"/>
          <w:szCs w:val="21"/>
        </w:rPr>
        <w:t>．以理财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管理人名义，代表投资者利益行使诉讼权利或者实施其他法律行为。</w:t>
      </w:r>
    </w:p>
    <w:p w14:paraId="510F5397"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color w:val="000000"/>
          <w:szCs w:val="21"/>
        </w:rPr>
        <w:t>10</w:t>
      </w:r>
      <w:r>
        <w:rPr>
          <w:rFonts w:ascii="微软简仿宋" w:eastAsia="微软简仿宋" w:hAnsi="微软简仿宋" w:cs="微软简仿宋" w:hint="eastAsia"/>
          <w:color w:val="000000"/>
          <w:szCs w:val="21"/>
        </w:rPr>
        <w:t>．在兑付受托资金及收益时，保证受托资金及收益返回投资者的原认（申）购时使用的银行账户。</w:t>
      </w:r>
    </w:p>
    <w:p w14:paraId="5406BB5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11</w:t>
      </w:r>
      <w:r>
        <w:rPr>
          <w:rFonts w:ascii="微软简仿宋" w:eastAsia="微软简仿宋" w:hAnsi="微软简仿宋" w:cs="微软简仿宋" w:hint="eastAsia"/>
          <w:color w:val="000000"/>
          <w:szCs w:val="21"/>
        </w:rPr>
        <w:t>．监管部门规定的其他职责。</w:t>
      </w:r>
    </w:p>
    <w:p w14:paraId="214D0F1C"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七、理财</w:t>
      </w:r>
      <w:r>
        <w:rPr>
          <w:rFonts w:ascii="微软简仿宋" w:eastAsia="微软简仿宋"/>
          <w:b/>
          <w:bCs/>
          <w:color w:val="000000"/>
          <w:szCs w:val="21"/>
        </w:rPr>
        <w:t>产品</w:t>
      </w:r>
      <w:r>
        <w:rPr>
          <w:rFonts w:ascii="微软简仿宋" w:eastAsia="微软简仿宋" w:hint="eastAsia"/>
          <w:b/>
          <w:bCs/>
          <w:color w:val="000000"/>
          <w:szCs w:val="21"/>
        </w:rPr>
        <w:t>托管</w:t>
      </w:r>
    </w:p>
    <w:p w14:paraId="2449623E"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乙方可选聘</w:t>
      </w:r>
      <w:r>
        <w:rPr>
          <w:rFonts w:ascii="微软简仿宋" w:eastAsia="微软简仿宋"/>
          <w:color w:val="000000"/>
          <w:szCs w:val="21"/>
        </w:rPr>
        <w:t>托管</w:t>
      </w:r>
      <w:r>
        <w:rPr>
          <w:rFonts w:ascii="微软简仿宋" w:eastAsia="微软简仿宋" w:hint="eastAsia"/>
          <w:color w:val="000000"/>
          <w:szCs w:val="21"/>
        </w:rPr>
        <w:t>人</w:t>
      </w:r>
      <w:r>
        <w:rPr>
          <w:rFonts w:ascii="微软简仿宋" w:eastAsia="微软简仿宋"/>
          <w:color w:val="000000"/>
          <w:szCs w:val="21"/>
        </w:rPr>
        <w:t>，并</w:t>
      </w:r>
      <w:r>
        <w:rPr>
          <w:rFonts w:ascii="微软简仿宋" w:eastAsia="微软简仿宋" w:hint="eastAsia"/>
          <w:color w:val="000000"/>
          <w:szCs w:val="21"/>
        </w:rPr>
        <w:t>根据监管规定与托管人签订理财产品托管协议。托管人接受乙方委托，在乙方委托范围内，办理乙方交付的理财产品财产资金的托管事宜。</w:t>
      </w:r>
    </w:p>
    <w:p w14:paraId="2E4A996D"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八、理财</w:t>
      </w:r>
      <w:r>
        <w:rPr>
          <w:rFonts w:ascii="微软简仿宋" w:eastAsia="微软简仿宋"/>
          <w:b/>
          <w:bCs/>
          <w:color w:val="000000"/>
          <w:szCs w:val="21"/>
        </w:rPr>
        <w:t>产品</w:t>
      </w:r>
      <w:r>
        <w:rPr>
          <w:rFonts w:ascii="微软简仿宋" w:eastAsia="微软简仿宋" w:hint="eastAsia"/>
          <w:b/>
          <w:bCs/>
          <w:color w:val="000000"/>
          <w:szCs w:val="21"/>
        </w:rPr>
        <w:t>投资</w:t>
      </w:r>
    </w:p>
    <w:p w14:paraId="7EECA736"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（一）投资目标</w:t>
      </w:r>
    </w:p>
    <w:p w14:paraId="57D7C0CC"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乙方按照理财</w:t>
      </w:r>
      <w:r>
        <w:rPr>
          <w:rFonts w:ascii="微软简仿宋" w:eastAsia="微软简仿宋"/>
          <w:color w:val="000000"/>
          <w:szCs w:val="21"/>
        </w:rPr>
        <w:t>产品说明书约定</w:t>
      </w:r>
      <w:r>
        <w:rPr>
          <w:rFonts w:ascii="微软简仿宋" w:eastAsia="微软简仿宋" w:hint="eastAsia"/>
          <w:color w:val="000000"/>
          <w:szCs w:val="21"/>
        </w:rPr>
        <w:t>的投资策略、</w:t>
      </w:r>
      <w:r>
        <w:rPr>
          <w:rFonts w:ascii="微软简仿宋" w:eastAsia="微软简仿宋"/>
          <w:color w:val="000000"/>
          <w:szCs w:val="21"/>
        </w:rPr>
        <w:t>投资范围</w:t>
      </w:r>
      <w:r>
        <w:rPr>
          <w:rFonts w:ascii="微软简仿宋" w:eastAsia="微软简仿宋" w:hint="eastAsia"/>
          <w:color w:val="000000"/>
          <w:szCs w:val="21"/>
        </w:rPr>
        <w:t>、投资资产种类及其投资比例，对理财产品进行投资和管理。</w:t>
      </w:r>
      <w:r>
        <w:rPr>
          <w:rFonts w:ascii="微软简仿宋" w:eastAsia="微软简仿宋" w:hAnsi="微软简仿宋" w:cs="微软简仿宋" w:hint="eastAsia"/>
          <w:color w:val="000000"/>
          <w:szCs w:val="21"/>
        </w:rPr>
        <w:t>金融市场发生重大变化导致理财产品投资比例暂时超出浮动区间且可能对理财产品收益产生重大影响的，乙方</w:t>
      </w:r>
      <w:r>
        <w:rPr>
          <w:rFonts w:ascii="微软简仿宋" w:eastAsia="微软简仿宋" w:hAnsi="微软简仿宋" w:cs="微软简仿宋"/>
          <w:color w:val="000000"/>
          <w:szCs w:val="21"/>
        </w:rPr>
        <w:t>将</w:t>
      </w:r>
      <w:r>
        <w:rPr>
          <w:rFonts w:ascii="微软简仿宋" w:eastAsia="微软简仿宋" w:hAnsi="微软简仿宋" w:cs="微软简仿宋" w:hint="eastAsia"/>
          <w:color w:val="000000"/>
          <w:szCs w:val="21"/>
        </w:rPr>
        <w:t>及时向投资者进行信息披露。</w:t>
      </w:r>
    </w:p>
    <w:p w14:paraId="0B0C277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hint="eastAsia"/>
          <w:color w:val="000000"/>
          <w:szCs w:val="21"/>
        </w:rPr>
        <w:t>乙方可能根据市场情况调整投资范围、投资资产种类或投资比例，并按照有关规定履行信息披露义务。超出理财</w:t>
      </w:r>
      <w:r>
        <w:rPr>
          <w:rFonts w:ascii="微软简仿宋" w:eastAsia="微软简仿宋" w:hAnsi="微软简仿宋" w:cs="微软简仿宋"/>
          <w:color w:val="000000"/>
          <w:szCs w:val="21"/>
        </w:rPr>
        <w:t>产品</w:t>
      </w:r>
      <w:r>
        <w:rPr>
          <w:rFonts w:ascii="微软简仿宋" w:eastAsia="微软简仿宋" w:hAnsi="微软简仿宋" w:cs="微软简仿宋" w:hint="eastAsia"/>
          <w:color w:val="000000"/>
          <w:szCs w:val="21"/>
        </w:rPr>
        <w:t>销售文件约定比例的，除高风险类型的理财产品超出比例范围投资较低风险资产外，乙方应当先取得甲方书面同意，并在全国银行业理财信息登记系统做好理财产品信息登记；甲方不接受的，</w:t>
      </w:r>
      <w:r>
        <w:rPr>
          <w:rFonts w:ascii="微软简仿宋" w:eastAsia="微软简仿宋" w:hAnsi="微软简仿宋" w:cs="微软简仿宋"/>
          <w:color w:val="000000"/>
          <w:szCs w:val="21"/>
        </w:rPr>
        <w:t>可</w:t>
      </w:r>
      <w:r>
        <w:rPr>
          <w:rFonts w:ascii="微软简仿宋" w:eastAsia="微软简仿宋" w:hAnsi="微软简仿宋" w:cs="微软简仿宋" w:hint="eastAsia"/>
          <w:color w:val="000000"/>
          <w:szCs w:val="21"/>
        </w:rPr>
        <w:t>按照销售文件约定提前赎回理财产品。</w:t>
      </w:r>
    </w:p>
    <w:p w14:paraId="6C5262B5"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（二）投资范围</w:t>
      </w:r>
    </w:p>
    <w:p w14:paraId="2FA1A43A"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Ansi="微软简仿宋" w:cs="微软简仿宋" w:hint="eastAsia"/>
          <w:color w:val="000000"/>
          <w:szCs w:val="21"/>
        </w:rPr>
        <w:t>具体</w:t>
      </w:r>
      <w:r>
        <w:rPr>
          <w:rFonts w:ascii="微软简仿宋" w:eastAsia="微软简仿宋" w:hAnsi="微软简仿宋" w:cs="微软简仿宋"/>
          <w:color w:val="000000"/>
          <w:szCs w:val="21"/>
        </w:rPr>
        <w:t>投资范围、投资比例</w:t>
      </w:r>
      <w:r>
        <w:rPr>
          <w:rFonts w:ascii="微软简仿宋" w:eastAsia="微软简仿宋" w:hAnsi="微软简仿宋" w:cs="微软简仿宋" w:hint="eastAsia"/>
          <w:color w:val="000000"/>
          <w:szCs w:val="21"/>
        </w:rPr>
        <w:t>详见</w:t>
      </w:r>
      <w:r>
        <w:rPr>
          <w:rFonts w:ascii="微软简仿宋" w:eastAsia="微软简仿宋" w:hAnsi="微软简仿宋" w:cs="微软简仿宋"/>
          <w:color w:val="000000"/>
          <w:szCs w:val="21"/>
        </w:rPr>
        <w:t>理财产品说明书。</w:t>
      </w:r>
    </w:p>
    <w:p w14:paraId="67262341" w14:textId="77777777" w:rsidR="0074532A" w:rsidRDefault="00000000">
      <w:pPr>
        <w:pStyle w:val="7063fc63"/>
        <w:adjustRightInd w:val="0"/>
        <w:snapToGrid w:val="0"/>
        <w:spacing w:line="360" w:lineRule="auto"/>
        <w:ind w:firstLineChars="200" w:firstLine="420"/>
        <w:rPr>
          <w:rFonts w:ascii="微软简仿宋" w:eastAsia="微软简仿宋" w:hAnsi="微软简仿宋" w:cs="微软简仿宋"/>
          <w:color w:val="000000"/>
          <w:szCs w:val="21"/>
        </w:rPr>
      </w:pPr>
      <w:r>
        <w:rPr>
          <w:rFonts w:ascii="微软简仿宋" w:eastAsia="微软简仿宋" w:hint="eastAsia"/>
          <w:color w:val="000000"/>
          <w:szCs w:val="21"/>
        </w:rPr>
        <w:t>（三）</w:t>
      </w:r>
      <w:r>
        <w:rPr>
          <w:rFonts w:ascii="微软简仿宋" w:eastAsia="微软简仿宋"/>
          <w:color w:val="000000"/>
          <w:szCs w:val="21"/>
        </w:rPr>
        <w:t>投资合作机构</w:t>
      </w:r>
    </w:p>
    <w:p w14:paraId="3D235AD1"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甲方同意乙方根据法律法规及监管规定、依据理财产品投资管理需要选聘理财</w:t>
      </w:r>
      <w:r>
        <w:rPr>
          <w:rFonts w:ascii="微软简仿宋" w:eastAsia="微软简仿宋"/>
          <w:color w:val="000000"/>
          <w:szCs w:val="21"/>
        </w:rPr>
        <w:t>产品投资合作机构</w:t>
      </w:r>
      <w:r>
        <w:rPr>
          <w:rFonts w:ascii="微软简仿宋" w:eastAsia="微软简仿宋" w:hint="eastAsia"/>
          <w:color w:val="000000"/>
          <w:szCs w:val="21"/>
        </w:rPr>
        <w:t>。</w:t>
      </w:r>
    </w:p>
    <w:p w14:paraId="105FD47A"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（四）投资限制</w:t>
      </w:r>
    </w:p>
    <w:p w14:paraId="476709E9"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lastRenderedPageBreak/>
        <w:t>理财产品不得直接投资于信贷资产，不得直接或间接投资于管理人主要股东的信贷资产及其受（收）益权，不得直接或间接投资于管理人主要股东发行的次级档资产支持证券，面向非机构投资者发行的理财产品不得直接或间接投资于不良资产受（收）益权。</w:t>
      </w:r>
    </w:p>
    <w:p w14:paraId="56F4155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理财产品不得直接或间接投资于乙方发行的其他理财产品，国务院银行业监督管理机构另有规定的除外。</w:t>
      </w:r>
    </w:p>
    <w:p w14:paraId="6CE2D74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具体投资限制以法律法规规定、理财产品说明书约定为准。</w:t>
      </w:r>
    </w:p>
    <w:p w14:paraId="5569E5F5"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九、费用</w:t>
      </w:r>
    </w:p>
    <w:p w14:paraId="5AA7CB22"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1</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乙方依据销售（代理销售）协议书、理财产品说明书约定的费用项目、收费条件、费率标准、收费方式等要素收取相关费用。</w:t>
      </w:r>
    </w:p>
    <w:p w14:paraId="7228BD1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Ansi="微软简仿宋" w:cs="微软简仿宋"/>
          <w:color w:val="000000"/>
          <w:szCs w:val="21"/>
        </w:rPr>
        <w:t>2</w:t>
      </w:r>
      <w:r>
        <w:rPr>
          <w:rFonts w:ascii="微软简仿宋" w:eastAsia="微软简仿宋" w:hAnsi="微软简仿宋" w:cs="微软简仿宋" w:hint="eastAsia"/>
          <w:color w:val="000000"/>
          <w:szCs w:val="21"/>
        </w:rPr>
        <w:t>．</w:t>
      </w:r>
      <w:r>
        <w:rPr>
          <w:rFonts w:ascii="微软简仿宋" w:eastAsia="微软简仿宋" w:hint="eastAsia"/>
          <w:color w:val="000000"/>
          <w:szCs w:val="21"/>
        </w:rPr>
        <w:t>乙方可</w:t>
      </w:r>
      <w:r>
        <w:rPr>
          <w:rFonts w:ascii="微软简仿宋" w:eastAsia="微软简仿宋"/>
          <w:color w:val="000000"/>
          <w:szCs w:val="21"/>
        </w:rPr>
        <w:t>根据</w:t>
      </w:r>
      <w:r>
        <w:rPr>
          <w:rFonts w:ascii="微软简仿宋" w:eastAsia="微软简仿宋" w:hint="eastAsia"/>
          <w:color w:val="000000"/>
          <w:szCs w:val="21"/>
        </w:rPr>
        <w:t>市场</w:t>
      </w:r>
      <w:r>
        <w:rPr>
          <w:rFonts w:ascii="微软简仿宋" w:eastAsia="微软简仿宋"/>
          <w:color w:val="000000"/>
          <w:szCs w:val="21"/>
        </w:rPr>
        <w:t>情况</w:t>
      </w:r>
      <w:r>
        <w:rPr>
          <w:rFonts w:ascii="微软简仿宋" w:eastAsia="微软简仿宋" w:hint="eastAsia"/>
          <w:color w:val="000000"/>
          <w:szCs w:val="21"/>
        </w:rPr>
        <w:t>调整已约定的收费项目、收费条件、费率标准和收费方式，并在</w:t>
      </w:r>
      <w:r>
        <w:rPr>
          <w:rFonts w:ascii="微软简仿宋" w:eastAsia="微软简仿宋"/>
          <w:color w:val="000000"/>
          <w:szCs w:val="21"/>
        </w:rPr>
        <w:t>生效前</w:t>
      </w:r>
      <w:r>
        <w:rPr>
          <w:rFonts w:ascii="微软简仿宋" w:eastAsia="微软简仿宋" w:hint="eastAsia"/>
          <w:color w:val="000000"/>
          <w:szCs w:val="21"/>
        </w:rPr>
        <w:t>通过约定信息披露途径予以披露。甲方</w:t>
      </w:r>
      <w:r>
        <w:rPr>
          <w:rFonts w:ascii="微软简仿宋" w:eastAsia="微软简仿宋"/>
          <w:color w:val="000000"/>
          <w:szCs w:val="21"/>
        </w:rPr>
        <w:t>不同意的，可</w:t>
      </w:r>
      <w:r>
        <w:rPr>
          <w:rFonts w:ascii="微软简仿宋" w:eastAsia="微软简仿宋" w:hint="eastAsia"/>
          <w:color w:val="000000"/>
          <w:szCs w:val="21"/>
        </w:rPr>
        <w:t>根据公告信息</w:t>
      </w:r>
      <w:r>
        <w:rPr>
          <w:rFonts w:ascii="微软简仿宋" w:eastAsia="微软简仿宋"/>
          <w:color w:val="000000"/>
          <w:szCs w:val="21"/>
        </w:rPr>
        <w:t>赎回</w:t>
      </w:r>
      <w:r>
        <w:rPr>
          <w:rFonts w:ascii="微软简仿宋" w:eastAsia="微软简仿宋" w:hint="eastAsia"/>
          <w:color w:val="000000"/>
          <w:szCs w:val="21"/>
        </w:rPr>
        <w:t>产品。</w:t>
      </w:r>
    </w:p>
    <w:p w14:paraId="1FEB81E9"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十、理财</w:t>
      </w:r>
      <w:r>
        <w:rPr>
          <w:rFonts w:ascii="微软简仿宋" w:eastAsia="微软简仿宋"/>
          <w:b/>
          <w:bCs/>
          <w:color w:val="000000"/>
          <w:szCs w:val="21"/>
        </w:rPr>
        <w:t>产品</w:t>
      </w:r>
      <w:r>
        <w:rPr>
          <w:rFonts w:ascii="微软简仿宋" w:eastAsia="微软简仿宋" w:hint="eastAsia"/>
          <w:b/>
          <w:bCs/>
          <w:color w:val="000000"/>
          <w:szCs w:val="21"/>
        </w:rPr>
        <w:t>信息披露</w:t>
      </w:r>
    </w:p>
    <w:p w14:paraId="28E39E0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乙方通过本公司和代销机构官方渠道、行业统一信息披露渠道或与投资者约定的其他渠道披露全部在售及存续的理财产品相关信息。具体信息披露方式及途径以理财产品说明书约定为准。</w:t>
      </w:r>
    </w:p>
    <w:p w14:paraId="3F32A9AB"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投资者应定期通过上述相关渠道获知有关信息。如投资者未及时查询产品信息产生的责任和风险由投资者承担。</w:t>
      </w:r>
    </w:p>
    <w:p w14:paraId="15A3DC44"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投资者可依据乙方</w:t>
      </w:r>
      <w:r>
        <w:rPr>
          <w:rFonts w:ascii="微软简仿宋" w:eastAsia="微软简仿宋"/>
          <w:color w:val="000000"/>
          <w:szCs w:val="21"/>
        </w:rPr>
        <w:t>披露的</w:t>
      </w:r>
      <w:r>
        <w:rPr>
          <w:rFonts w:ascii="微软简仿宋" w:eastAsia="微软简仿宋" w:hint="eastAsia"/>
          <w:color w:val="000000"/>
          <w:szCs w:val="21"/>
        </w:rPr>
        <w:t>理财</w:t>
      </w:r>
      <w:r>
        <w:rPr>
          <w:rFonts w:ascii="微软简仿宋" w:eastAsia="微软简仿宋"/>
          <w:color w:val="000000"/>
          <w:szCs w:val="21"/>
        </w:rPr>
        <w:t>产品</w:t>
      </w:r>
      <w:r>
        <w:rPr>
          <w:rFonts w:ascii="微软简仿宋" w:eastAsia="微软简仿宋" w:hint="eastAsia"/>
          <w:color w:val="000000"/>
          <w:szCs w:val="21"/>
        </w:rPr>
        <w:t>登记编码在“中国理财网”查询理财产品信息。</w:t>
      </w:r>
    </w:p>
    <w:p w14:paraId="4A45D9B2"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十一、个人</w:t>
      </w:r>
      <w:r>
        <w:rPr>
          <w:rFonts w:ascii="微软简仿宋" w:eastAsia="微软简仿宋"/>
          <w:b/>
          <w:bCs/>
          <w:color w:val="000000"/>
          <w:szCs w:val="21"/>
        </w:rPr>
        <w:t>信息</w:t>
      </w:r>
      <w:r>
        <w:rPr>
          <w:rFonts w:ascii="微软简仿宋" w:eastAsia="微软简仿宋" w:hint="eastAsia"/>
          <w:b/>
          <w:bCs/>
          <w:color w:val="000000"/>
          <w:szCs w:val="21"/>
        </w:rPr>
        <w:t>使用授权</w:t>
      </w:r>
    </w:p>
    <w:p w14:paraId="74BD55F5"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（一）个人信息使用授权</w:t>
      </w:r>
    </w:p>
    <w:p w14:paraId="1E977F1C" w14:textId="77777777" w:rsidR="0074532A" w:rsidRDefault="00000000">
      <w:pPr>
        <w:pStyle w:val="7063fc63"/>
        <w:adjustRightInd w:val="0"/>
        <w:snapToGrid w:val="0"/>
        <w:spacing w:line="360" w:lineRule="auto"/>
        <w:ind w:firstLineChars="200" w:firstLine="400"/>
        <w:rPr>
          <w:rFonts w:ascii="微软简仿宋" w:eastAsia="微软简仿宋"/>
          <w:color w:val="000000"/>
          <w:szCs w:val="21"/>
        </w:rPr>
      </w:pPr>
      <w:r>
        <w:rPr>
          <w:rFonts w:ascii="微软简仿宋" w:eastAsia="微软简仿宋" w:hAnsi="Times New Roman" w:hint="eastAsia"/>
          <w:color w:val="000000"/>
          <w:sz w:val="20"/>
          <w:szCs w:val="21"/>
        </w:rPr>
        <w:t>个人信息是以电子或者其他方式记录的，与已识别或者可识别的自然人有关的各种信息，不包括匿名化处理后的信息。</w:t>
      </w:r>
      <w:r>
        <w:rPr>
          <w:rFonts w:ascii="微软简仿宋" w:eastAsia="微软简仿宋" w:hint="eastAsia"/>
          <w:color w:val="000000"/>
          <w:szCs w:val="21"/>
        </w:rPr>
        <w:t>甲方同意并自愿授权乙方在提供</w:t>
      </w:r>
      <w:r>
        <w:rPr>
          <w:rFonts w:ascii="微软简仿宋" w:eastAsia="微软简仿宋"/>
          <w:color w:val="000000"/>
          <w:szCs w:val="21"/>
        </w:rPr>
        <w:t>理财</w:t>
      </w:r>
      <w:r>
        <w:rPr>
          <w:rFonts w:ascii="微软简仿宋" w:eastAsia="微软简仿宋" w:hint="eastAsia"/>
          <w:color w:val="000000"/>
          <w:szCs w:val="21"/>
        </w:rPr>
        <w:t>业务服务所必需的情形下，</w:t>
      </w:r>
      <w:r>
        <w:rPr>
          <w:rFonts w:ascii="微软简仿宋" w:eastAsia="微软简仿宋" w:hint="eastAsia"/>
          <w:b/>
          <w:bCs/>
          <w:color w:val="000000"/>
          <w:szCs w:val="21"/>
        </w:rPr>
        <w:t>基于身份验证、理财业务办理、风险监测和保护账户资金安全、履行反洗钱和制裁要求、履行非居民金融账户涉税信息尽职调查义务、审计、客户服务与回访、统计分析和加工处理、归档和业务备份、履行其他法定义务等目的，以收集、存储、使用、传输、提供、删除等方式处理获取</w:t>
      </w:r>
      <w:r>
        <w:rPr>
          <w:rFonts w:ascii="微软简仿宋" w:eastAsia="微软简仿宋"/>
          <w:b/>
          <w:bCs/>
          <w:color w:val="000000"/>
          <w:szCs w:val="21"/>
        </w:rPr>
        <w:t>的</w:t>
      </w:r>
      <w:r>
        <w:rPr>
          <w:rFonts w:ascii="微软简仿宋" w:eastAsia="微软简仿宋" w:hint="eastAsia"/>
          <w:b/>
          <w:bCs/>
          <w:color w:val="000000"/>
          <w:szCs w:val="21"/>
        </w:rPr>
        <w:t>如下甲方个人信息（当</w:t>
      </w:r>
      <w:r>
        <w:rPr>
          <w:rFonts w:ascii="微软简仿宋" w:eastAsia="微软简仿宋"/>
          <w:b/>
          <w:bCs/>
          <w:color w:val="000000"/>
          <w:szCs w:val="21"/>
        </w:rPr>
        <w:t>甲方为机构投资者时，</w:t>
      </w:r>
      <w:r>
        <w:rPr>
          <w:rFonts w:ascii="微软简仿宋" w:eastAsia="微软简仿宋" w:hint="eastAsia"/>
          <w:b/>
          <w:bCs/>
          <w:color w:val="000000"/>
          <w:szCs w:val="21"/>
        </w:rPr>
        <w:t>为甲方</w:t>
      </w:r>
      <w:r>
        <w:rPr>
          <w:rFonts w:ascii="微软简仿宋" w:eastAsia="微软简仿宋"/>
          <w:b/>
          <w:bCs/>
          <w:color w:val="000000"/>
          <w:szCs w:val="21"/>
        </w:rPr>
        <w:t>经办人、</w:t>
      </w:r>
      <w:r>
        <w:rPr>
          <w:rFonts w:ascii="微软简仿宋" w:eastAsia="微软简仿宋" w:hint="eastAsia"/>
          <w:b/>
          <w:bCs/>
          <w:color w:val="000000"/>
          <w:szCs w:val="21"/>
        </w:rPr>
        <w:t>法定代表人</w:t>
      </w:r>
      <w:r>
        <w:rPr>
          <w:rFonts w:ascii="微软简仿宋" w:eastAsia="微软简仿宋"/>
          <w:b/>
          <w:bCs/>
          <w:color w:val="000000"/>
          <w:szCs w:val="21"/>
        </w:rPr>
        <w:t>、实</w:t>
      </w:r>
      <w:r>
        <w:rPr>
          <w:rFonts w:ascii="微软简仿宋" w:eastAsia="微软简仿宋"/>
          <w:b/>
          <w:bCs/>
          <w:color w:val="000000"/>
          <w:szCs w:val="21"/>
        </w:rPr>
        <w:lastRenderedPageBreak/>
        <w:t>际控制人、</w:t>
      </w:r>
      <w:r>
        <w:rPr>
          <w:rFonts w:ascii="微软简仿宋" w:eastAsia="微软简仿宋" w:hint="eastAsia"/>
          <w:b/>
          <w:bCs/>
          <w:color w:val="000000"/>
          <w:szCs w:val="21"/>
        </w:rPr>
        <w:t>实际</w:t>
      </w:r>
      <w:r>
        <w:rPr>
          <w:rFonts w:ascii="微软简仿宋" w:eastAsia="微软简仿宋"/>
          <w:b/>
          <w:bCs/>
          <w:color w:val="000000"/>
          <w:szCs w:val="21"/>
        </w:rPr>
        <w:t>受益人的个人信息</w:t>
      </w:r>
      <w:r>
        <w:rPr>
          <w:rFonts w:ascii="微软简仿宋" w:eastAsia="微软简仿宋" w:hint="eastAsia"/>
          <w:b/>
          <w:bCs/>
          <w:color w:val="000000"/>
          <w:szCs w:val="21"/>
        </w:rPr>
        <w:t>，</w:t>
      </w:r>
      <w:r>
        <w:rPr>
          <w:rFonts w:ascii="微软简仿宋" w:eastAsia="微软简仿宋"/>
          <w:b/>
          <w:bCs/>
          <w:color w:val="000000"/>
          <w:szCs w:val="21"/>
        </w:rPr>
        <w:t>下同</w:t>
      </w:r>
      <w:r>
        <w:rPr>
          <w:rFonts w:ascii="微软简仿宋" w:eastAsia="微软简仿宋" w:hAnsi="Times New Roman" w:hint="eastAsia"/>
          <w:b/>
          <w:bCs/>
          <w:color w:val="000000"/>
          <w:szCs w:val="21"/>
        </w:rPr>
        <w:t xml:space="preserve"> </w:t>
      </w:r>
      <w:r>
        <w:rPr>
          <w:rFonts w:ascii="微软简仿宋" w:eastAsia="微软简仿宋" w:hint="eastAsia"/>
          <w:b/>
          <w:bCs/>
          <w:color w:val="000000"/>
          <w:szCs w:val="21"/>
        </w:rPr>
        <w:t>），包括</w:t>
      </w:r>
      <w:r>
        <w:rPr>
          <w:rFonts w:ascii="微软简仿宋" w:eastAsia="微软简仿宋" w:hint="eastAsia"/>
          <w:color w:val="000000"/>
          <w:szCs w:val="21"/>
        </w:rPr>
        <w:t>：</w:t>
      </w:r>
    </w:p>
    <w:p w14:paraId="34F40640"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1．身份信息：姓名、性别、国籍、职业、工作单位、住址、联系方式、手机号码、身份证件信息等；</w:t>
      </w:r>
    </w:p>
    <w:p w14:paraId="10A09E1E"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2．财产信息：纳税信息等；</w:t>
      </w:r>
    </w:p>
    <w:p w14:paraId="7CDEA8B5"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3．账户信息：银行卡号或账号信息等；</w:t>
      </w:r>
    </w:p>
    <w:p w14:paraId="04FB105C"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4．交易信息：交易金额，交易凭证等；</w:t>
      </w:r>
    </w:p>
    <w:p w14:paraId="2EAF3C6A"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如果甲方不同意乙方处理上述个人信息，乙方将无法提供理财业务服务。</w:t>
      </w:r>
    </w:p>
    <w:p w14:paraId="13AD81AE"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（二）敏感个人信息使用授权</w:t>
      </w:r>
    </w:p>
    <w:p w14:paraId="0254BB85"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以上甲方个人信息中身份证件信息、财产信息、账户信息、交易信息等属于甲方的敏感个人信息，甲方同意并授权乙方处理其敏感个人信息。甲方不同意乙方处理该信息的，乙方将可能无法提供理财业务服务。</w:t>
      </w:r>
    </w:p>
    <w:p w14:paraId="07AA7F7D"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其敏感个人信息一旦发生泄露或者被非法使用的，容易导致甲方的人身、财产安全受到危害。乙方承诺将按照法律法规、监管规定等相关要求，在现有技术水平下，采取严格的保护措施保护甲方的敏感个人信息。</w:t>
      </w:r>
    </w:p>
    <w:p w14:paraId="32E98B4C"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（三）对外提供个人信息</w:t>
      </w:r>
    </w:p>
    <w:p w14:paraId="4491A583"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甲方同意并自愿授权乙方根据法律法规、监管部门的规定或有权机关的命令，为履行反洗钱、反欺诈、开展金融账户涉税信息调查、公安及司法等有权机关查询/冻结/扣划、理财</w:t>
      </w:r>
      <w:r>
        <w:rPr>
          <w:rFonts w:ascii="微软简仿宋" w:eastAsia="微软简仿宋"/>
          <w:b/>
          <w:bCs/>
          <w:color w:val="000000"/>
          <w:szCs w:val="21"/>
        </w:rPr>
        <w:t>信息数据报送</w:t>
      </w:r>
      <w:r>
        <w:rPr>
          <w:rFonts w:ascii="微软简仿宋" w:eastAsia="微软简仿宋" w:hint="eastAsia"/>
          <w:b/>
          <w:bCs/>
          <w:color w:val="000000"/>
          <w:szCs w:val="21"/>
        </w:rPr>
        <w:t>等法定职责或者法定义务之目的，将甲方的信息提供给银行业理财登记托管中心、理财</w:t>
      </w:r>
      <w:r>
        <w:rPr>
          <w:rFonts w:ascii="微软简仿宋" w:eastAsia="微软简仿宋"/>
          <w:b/>
          <w:bCs/>
          <w:color w:val="000000"/>
          <w:szCs w:val="21"/>
        </w:rPr>
        <w:t>业务</w:t>
      </w:r>
      <w:r>
        <w:rPr>
          <w:rFonts w:ascii="微软简仿宋" w:eastAsia="微软简仿宋" w:hint="eastAsia"/>
          <w:b/>
          <w:bCs/>
          <w:color w:val="000000"/>
          <w:szCs w:val="21"/>
        </w:rPr>
        <w:t>监管机构及有权机关。</w:t>
      </w:r>
    </w:p>
    <w:p w14:paraId="2287650D"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（四）征得授权同意的例外</w:t>
      </w:r>
    </w:p>
    <w:p w14:paraId="3F3C6669"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依据相关法律、行政法规的规定，在以下情形中收集、使用甲方的个人信息无需征得甲方的授权：</w:t>
      </w:r>
    </w:p>
    <w:p w14:paraId="0B3196F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为订立、履行合同所必需的；</w:t>
      </w:r>
    </w:p>
    <w:p w14:paraId="0878A2B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产品</w:t>
      </w:r>
      <w:r>
        <w:rPr>
          <w:rFonts w:ascii="微软简仿宋" w:eastAsia="微软简仿宋"/>
          <w:color w:val="000000"/>
          <w:szCs w:val="21"/>
        </w:rPr>
        <w:t>管理人</w:t>
      </w:r>
      <w:r>
        <w:rPr>
          <w:rFonts w:ascii="微软简仿宋" w:eastAsia="微软简仿宋" w:hint="eastAsia"/>
          <w:color w:val="000000"/>
          <w:szCs w:val="21"/>
        </w:rPr>
        <w:t>为履行法定职责或者法定义务所必需；</w:t>
      </w:r>
    </w:p>
    <w:p w14:paraId="170760C3"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3</w:t>
      </w:r>
      <w:r>
        <w:rPr>
          <w:rFonts w:ascii="微软简仿宋" w:eastAsia="微软简仿宋" w:hint="eastAsia"/>
          <w:b/>
          <w:bCs/>
          <w:color w:val="000000"/>
          <w:szCs w:val="21"/>
        </w:rPr>
        <w:t>．</w:t>
      </w:r>
      <w:r>
        <w:rPr>
          <w:rFonts w:ascii="微软简仿宋" w:eastAsia="微软简仿宋" w:hint="eastAsia"/>
          <w:color w:val="000000"/>
          <w:szCs w:val="21"/>
        </w:rPr>
        <w:t>为应对突发公共卫生事件，或者紧急情况下为保护自然人的生命健康和财产安全所必需；</w:t>
      </w:r>
    </w:p>
    <w:p w14:paraId="1117CC3E"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lastRenderedPageBreak/>
        <w:t>4</w:t>
      </w:r>
      <w:r>
        <w:rPr>
          <w:rFonts w:ascii="微软简仿宋" w:eastAsia="微软简仿宋" w:hint="eastAsia"/>
          <w:b/>
          <w:bCs/>
          <w:color w:val="000000"/>
          <w:szCs w:val="21"/>
        </w:rPr>
        <w:t>．</w:t>
      </w:r>
      <w:r>
        <w:rPr>
          <w:rFonts w:ascii="微软简仿宋" w:eastAsia="微软简仿宋" w:hint="eastAsia"/>
          <w:color w:val="000000"/>
          <w:szCs w:val="21"/>
        </w:rPr>
        <w:t>为公共利益实施新闻报道、舆论监督等行为，在合理的范围内处理个人信息；</w:t>
      </w:r>
    </w:p>
    <w:p w14:paraId="5903313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
          <w:bCs/>
          <w:color w:val="000000"/>
          <w:szCs w:val="21"/>
        </w:rPr>
        <w:t>．</w:t>
      </w:r>
      <w:r>
        <w:rPr>
          <w:rFonts w:ascii="微软简仿宋" w:eastAsia="微软简仿宋" w:hint="eastAsia"/>
          <w:color w:val="000000"/>
          <w:szCs w:val="21"/>
        </w:rPr>
        <w:t>在合理的范围内处理个人自行公开或者其他已经合法公开的个人信息；</w:t>
      </w:r>
    </w:p>
    <w:p w14:paraId="6A845B94"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
          <w:bCs/>
          <w:color w:val="000000"/>
          <w:szCs w:val="21"/>
        </w:rPr>
        <w:t>．</w:t>
      </w:r>
      <w:r>
        <w:rPr>
          <w:rFonts w:ascii="微软简仿宋" w:eastAsia="微软简仿宋" w:hint="eastAsia"/>
          <w:color w:val="000000"/>
          <w:szCs w:val="21"/>
        </w:rPr>
        <w:t>法律、法规规定的其他情形。</w:t>
      </w:r>
    </w:p>
    <w:p w14:paraId="72BA30F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（五）公开个人信息</w:t>
      </w:r>
    </w:p>
    <w:p w14:paraId="6BF5DC75" w14:textId="77777777" w:rsidR="0074532A" w:rsidRDefault="00000000">
      <w:pPr>
        <w:pStyle w:val="7063fc63"/>
        <w:adjustRightInd w:val="0"/>
        <w:snapToGrid w:val="0"/>
        <w:spacing w:line="360" w:lineRule="auto"/>
        <w:ind w:firstLineChars="200" w:firstLine="400"/>
        <w:rPr>
          <w:rFonts w:ascii="微软简仿宋" w:eastAsia="微软简仿宋"/>
          <w:b/>
          <w:bCs/>
          <w:color w:val="000000"/>
          <w:szCs w:val="21"/>
        </w:rPr>
      </w:pPr>
      <w:r>
        <w:rPr>
          <w:rFonts w:ascii="微软简仿宋" w:eastAsia="微软简仿宋" w:hAnsi="Times New Roman" w:hint="eastAsia"/>
          <w:b/>
          <w:bCs/>
          <w:color w:val="000000"/>
          <w:sz w:val="20"/>
          <w:szCs w:val="21"/>
        </w:rPr>
        <w:t>甲方知悉，乙方不会公开披露甲方的个人信息，如确需披露，乙方会告知甲方披露其个人信息的目的、类型，涉及敏感信息的还会告知敏感信息的内容，并事先征得甲方的同意。在法律法规、监管规定或有权机关命令的情况下，乙方可能会公开披露甲方的个人信息。</w:t>
      </w:r>
    </w:p>
    <w:p w14:paraId="5217553C"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（六）其他</w:t>
      </w:r>
    </w:p>
    <w:p w14:paraId="642DCBD1"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1</w:t>
      </w:r>
      <w:r>
        <w:rPr>
          <w:rFonts w:ascii="微软简仿宋" w:eastAsia="微软简仿宋" w:hint="eastAsia"/>
          <w:b/>
          <w:bCs/>
          <w:color w:val="000000"/>
          <w:szCs w:val="21"/>
        </w:rPr>
        <w:t>．</w:t>
      </w:r>
      <w:r>
        <w:rPr>
          <w:rFonts w:ascii="微软简仿宋" w:eastAsia="微软简仿宋" w:hint="eastAsia"/>
          <w:color w:val="000000"/>
          <w:szCs w:val="21"/>
        </w:rPr>
        <w:t>乙方获取的甲方个人信息及理财信息将存储在中华人民共和国境内。</w:t>
      </w:r>
    </w:p>
    <w:p w14:paraId="4BF0F5C7"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2</w:t>
      </w:r>
      <w:r>
        <w:rPr>
          <w:rFonts w:ascii="微软简仿宋" w:eastAsia="微软简仿宋" w:hint="eastAsia"/>
          <w:b/>
          <w:bCs/>
          <w:color w:val="000000"/>
          <w:szCs w:val="21"/>
        </w:rPr>
        <w:t>．</w:t>
      </w:r>
      <w:r>
        <w:rPr>
          <w:rFonts w:ascii="微软简仿宋" w:eastAsia="微软简仿宋" w:hint="eastAsia"/>
          <w:color w:val="000000"/>
          <w:szCs w:val="21"/>
        </w:rPr>
        <w:t>在乙方提供理财</w:t>
      </w:r>
      <w:r>
        <w:rPr>
          <w:rFonts w:ascii="微软简仿宋" w:eastAsia="微软简仿宋"/>
          <w:color w:val="000000"/>
          <w:szCs w:val="21"/>
        </w:rPr>
        <w:t>业务</w:t>
      </w:r>
      <w:r>
        <w:rPr>
          <w:rFonts w:ascii="微软简仿宋" w:eastAsia="微软简仿宋" w:hint="eastAsia"/>
          <w:color w:val="000000"/>
          <w:szCs w:val="21"/>
        </w:rPr>
        <w:t>服务期间，甲方的个人</w:t>
      </w:r>
      <w:r>
        <w:rPr>
          <w:rFonts w:ascii="微软简仿宋" w:eastAsia="微软简仿宋"/>
          <w:color w:val="000000"/>
          <w:szCs w:val="21"/>
        </w:rPr>
        <w:t>信息</w:t>
      </w:r>
      <w:r>
        <w:rPr>
          <w:rFonts w:ascii="微软简仿宋" w:eastAsia="微软简仿宋" w:hint="eastAsia"/>
          <w:color w:val="000000"/>
          <w:szCs w:val="21"/>
        </w:rPr>
        <w:t>授权持续有效。乙方仅在法律法规、监管规定要求的期限内，以及为实现本业务信息处理之目的所必需的时限内保留甲方的个人信息。当超出保留期限后，乙方将按照法律法规的规定，对甲方的个人信息进行删除或匿名化处理等相关操作。</w:t>
      </w:r>
    </w:p>
    <w:p w14:paraId="7611BFDC" w14:textId="77777777" w:rsidR="0074532A" w:rsidRDefault="00000000">
      <w:pPr>
        <w:pStyle w:val="7063fc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3．</w:t>
      </w:r>
      <w:r>
        <w:rPr>
          <w:rFonts w:ascii="微软简仿宋" w:eastAsia="微软简仿宋" w:hAnsi="Times New Roman" w:hint="eastAsia"/>
          <w:b/>
          <w:bCs/>
          <w:color w:val="000000"/>
          <w:sz w:val="20"/>
          <w:szCs w:val="21"/>
        </w:rPr>
        <w:t>甲方有权通过</w:t>
      </w:r>
      <w:r>
        <w:rPr>
          <w:rFonts w:ascii="微软简仿宋" w:eastAsia="微软简仿宋"/>
          <w:b/>
          <w:bCs/>
          <w:color w:val="000000"/>
          <w:szCs w:val="21"/>
        </w:rPr>
        <w:t>理财</w:t>
      </w:r>
      <w:r>
        <w:rPr>
          <w:rFonts w:ascii="微软简仿宋" w:eastAsia="微软简仿宋" w:hint="eastAsia"/>
          <w:b/>
          <w:bCs/>
          <w:color w:val="000000"/>
          <w:szCs w:val="21"/>
        </w:rPr>
        <w:t>销售</w:t>
      </w:r>
      <w:r>
        <w:rPr>
          <w:rFonts w:ascii="微软简仿宋" w:eastAsia="微软简仿宋"/>
          <w:b/>
          <w:bCs/>
          <w:color w:val="000000"/>
          <w:szCs w:val="21"/>
        </w:rPr>
        <w:t>机构</w:t>
      </w:r>
      <w:r>
        <w:rPr>
          <w:rFonts w:ascii="微软简仿宋" w:eastAsia="微软简仿宋" w:hAnsi="Times New Roman" w:hint="eastAsia"/>
          <w:b/>
          <w:bCs/>
          <w:color w:val="000000"/>
          <w:sz w:val="20"/>
          <w:szCs w:val="21"/>
        </w:rPr>
        <w:t>行使法律所赋予甲方对个人信息的知情权、决定权、查阅权、复制权、更正及补充权、删除权、解释权等，法律、行政法规另有</w:t>
      </w:r>
      <w:r>
        <w:rPr>
          <w:rFonts w:ascii="微软简仿宋" w:eastAsia="微软简仿宋" w:hint="eastAsia"/>
          <w:b/>
          <w:bCs/>
          <w:color w:val="000000"/>
          <w:szCs w:val="21"/>
        </w:rPr>
        <w:t>规定的除外。</w:t>
      </w:r>
    </w:p>
    <w:p w14:paraId="21FA62B2" w14:textId="77777777" w:rsidR="0074532A" w:rsidRDefault="00000000">
      <w:pPr>
        <w:pStyle w:val="7063fc63"/>
        <w:adjustRightInd w:val="0"/>
        <w:snapToGrid w:val="0"/>
        <w:spacing w:line="360" w:lineRule="auto"/>
        <w:ind w:firstLineChars="200" w:firstLine="420"/>
        <w:jc w:val="left"/>
        <w:rPr>
          <w:rFonts w:ascii="微软简仿宋" w:eastAsia="微软简仿宋"/>
          <w:color w:val="000000"/>
          <w:szCs w:val="21"/>
        </w:rPr>
      </w:pPr>
      <w:r>
        <w:rPr>
          <w:rFonts w:ascii="微软简仿宋" w:eastAsia="微软简仿宋" w:hint="eastAsia"/>
          <w:color w:val="000000"/>
          <w:szCs w:val="21"/>
        </w:rPr>
        <w:t>基于甲方同意乙方处理其个人信息的，甲方可以</w:t>
      </w:r>
      <w:r>
        <w:rPr>
          <w:rFonts w:ascii="微软简仿宋" w:eastAsia="微软简仿宋"/>
          <w:color w:val="000000"/>
          <w:szCs w:val="21"/>
        </w:rPr>
        <w:t>通过理财</w:t>
      </w:r>
      <w:r>
        <w:rPr>
          <w:rFonts w:ascii="微软简仿宋" w:eastAsia="微软简仿宋" w:hint="eastAsia"/>
          <w:color w:val="000000"/>
          <w:szCs w:val="21"/>
        </w:rPr>
        <w:t>销售</w:t>
      </w:r>
      <w:r>
        <w:rPr>
          <w:rFonts w:ascii="微软简仿宋" w:eastAsia="微软简仿宋"/>
          <w:color w:val="000000"/>
          <w:szCs w:val="21"/>
        </w:rPr>
        <w:t>机构</w:t>
      </w:r>
      <w:r>
        <w:rPr>
          <w:rFonts w:ascii="微软简仿宋" w:eastAsia="微软简仿宋" w:hint="eastAsia"/>
          <w:color w:val="000000"/>
          <w:szCs w:val="21"/>
        </w:rPr>
        <w:t>向乙方</w:t>
      </w:r>
      <w:r>
        <w:rPr>
          <w:rFonts w:ascii="微软简仿宋" w:eastAsia="微软简仿宋"/>
          <w:color w:val="000000"/>
          <w:szCs w:val="21"/>
        </w:rPr>
        <w:t>提出</w:t>
      </w:r>
      <w:r>
        <w:rPr>
          <w:rFonts w:ascii="微软简仿宋" w:eastAsia="微软简仿宋" w:hint="eastAsia"/>
          <w:color w:val="000000"/>
          <w:szCs w:val="21"/>
        </w:rPr>
        <w:t>撤回处理个人信息的授权或改变授权同意的范围。甲方撤回对</w:t>
      </w:r>
      <w:r>
        <w:rPr>
          <w:rFonts w:ascii="微软简仿宋" w:eastAsia="微软简仿宋"/>
          <w:color w:val="000000"/>
          <w:szCs w:val="21"/>
        </w:rPr>
        <w:t>乙方</w:t>
      </w:r>
      <w:r>
        <w:rPr>
          <w:rFonts w:ascii="微软简仿宋" w:eastAsia="微软简仿宋" w:hint="eastAsia"/>
          <w:color w:val="000000"/>
          <w:szCs w:val="21"/>
        </w:rPr>
        <w:t>处理个人信息的同意，乙方将可能无法继续提供理财</w:t>
      </w:r>
      <w:r>
        <w:rPr>
          <w:rFonts w:ascii="微软简仿宋" w:eastAsia="微软简仿宋"/>
          <w:color w:val="000000"/>
          <w:szCs w:val="21"/>
        </w:rPr>
        <w:t>业务</w:t>
      </w:r>
      <w:r>
        <w:rPr>
          <w:rFonts w:ascii="微软简仿宋" w:eastAsia="微软简仿宋" w:hint="eastAsia"/>
          <w:color w:val="000000"/>
          <w:szCs w:val="21"/>
        </w:rPr>
        <w:t>服务。甲方撤回同意的，不会影响撤回前基于甲方同意乙方已进行的个人信息处理活动的效力。</w:t>
      </w:r>
    </w:p>
    <w:p w14:paraId="1DA8FF3D" w14:textId="77777777" w:rsidR="0074532A" w:rsidRDefault="00000000">
      <w:pPr>
        <w:pStyle w:val="7063fc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hint="eastAsia"/>
          <w:b/>
          <w:bCs/>
          <w:color w:val="000000"/>
          <w:szCs w:val="21"/>
        </w:rPr>
        <w:t>但如为履行合同所必需、或乙方为履行法定职责及义务等原因，乙方将可能无法响应甲方行使上述权利的请求。</w:t>
      </w:r>
    </w:p>
    <w:p w14:paraId="77547FF4" w14:textId="77777777" w:rsidR="0074532A" w:rsidRDefault="00000000">
      <w:pPr>
        <w:pStyle w:val="7063fc63"/>
        <w:adjustRightInd w:val="0"/>
        <w:snapToGrid w:val="0"/>
        <w:spacing w:line="360" w:lineRule="auto"/>
        <w:ind w:firstLineChars="200" w:firstLine="420"/>
        <w:jc w:val="left"/>
        <w:rPr>
          <w:rFonts w:ascii="微软简仿宋" w:eastAsia="微软简仿宋"/>
          <w:b/>
          <w:bCs/>
          <w:color w:val="000000"/>
          <w:szCs w:val="21"/>
        </w:rPr>
      </w:pPr>
      <w:r>
        <w:rPr>
          <w:rFonts w:ascii="微软简仿宋" w:eastAsia="微软简仿宋"/>
          <w:color w:val="000000"/>
          <w:szCs w:val="21"/>
        </w:rPr>
        <w:t>4</w:t>
      </w:r>
      <w:r>
        <w:rPr>
          <w:rFonts w:ascii="微软简仿宋" w:eastAsia="微软简仿宋" w:hint="eastAsia"/>
          <w:color w:val="000000"/>
          <w:szCs w:val="21"/>
        </w:rPr>
        <w:t>．</w:t>
      </w:r>
      <w:r>
        <w:rPr>
          <w:rFonts w:ascii="微软简仿宋" w:eastAsia="微软简仿宋" w:hint="eastAsia"/>
          <w:bCs/>
          <w:color w:val="000000"/>
          <w:szCs w:val="21"/>
        </w:rPr>
        <w:t>乙方对甲方的个人信息依法履行保密义务。对于甲方同意并自愿授权乙方处理的个人信息，乙方将严格按照法律法规、监管规定及与甲方的约定开展信息处理行为，并采取相应的安全措施来保护甲方的个人信息。</w:t>
      </w:r>
    </w:p>
    <w:p w14:paraId="7FBDA7B3"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十二、免责条款</w:t>
      </w:r>
    </w:p>
    <w:p w14:paraId="29D78C2B"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1</w:t>
      </w:r>
      <w:r>
        <w:rPr>
          <w:rFonts w:ascii="微软简仿宋" w:eastAsia="微软简仿宋" w:hint="eastAsia"/>
          <w:b/>
          <w:bCs/>
          <w:color w:val="000000"/>
          <w:szCs w:val="21"/>
        </w:rPr>
        <w:t>．</w:t>
      </w:r>
      <w:r>
        <w:rPr>
          <w:rFonts w:ascii="微软简仿宋" w:eastAsia="微软简仿宋" w:hint="eastAsia"/>
          <w:b/>
          <w:color w:val="000000"/>
          <w:szCs w:val="21"/>
        </w:rPr>
        <w:t>因不可抗力、非乙方原因发生的计算机系统故障、网络故障、通讯故障、电力故障</w:t>
      </w:r>
      <w:r>
        <w:rPr>
          <w:rFonts w:ascii="微软简仿宋" w:eastAsia="微软简仿宋" w:hint="eastAsia"/>
          <w:b/>
          <w:color w:val="000000"/>
          <w:szCs w:val="21"/>
        </w:rPr>
        <w:lastRenderedPageBreak/>
        <w:t>等，导致的交易中断、延误等风险或给甲方产生的损失，乙方不承担责任。</w:t>
      </w:r>
    </w:p>
    <w:p w14:paraId="4D291720"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b/>
          <w:color w:val="000000"/>
          <w:szCs w:val="21"/>
        </w:rPr>
        <w:t>2</w:t>
      </w:r>
      <w:r>
        <w:rPr>
          <w:rFonts w:ascii="微软简仿宋" w:eastAsia="微软简仿宋" w:hint="eastAsia"/>
          <w:b/>
          <w:bCs/>
          <w:color w:val="000000"/>
          <w:szCs w:val="21"/>
        </w:rPr>
        <w:t>．</w:t>
      </w:r>
      <w:r>
        <w:rPr>
          <w:rFonts w:ascii="微软简仿宋" w:eastAsia="微软简仿宋" w:hint="eastAsia"/>
          <w:b/>
          <w:color w:val="000000"/>
          <w:szCs w:val="21"/>
        </w:rPr>
        <w:t>由于国家的有关法律法规、监管规定的改变而导致甲方承担的风险，乙方不承担责任。</w:t>
      </w:r>
    </w:p>
    <w:p w14:paraId="3C6907BC"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3</w:t>
      </w:r>
      <w:r>
        <w:rPr>
          <w:rFonts w:ascii="微软简仿宋" w:eastAsia="微软简仿宋" w:hint="eastAsia"/>
          <w:b/>
          <w:bCs/>
          <w:color w:val="000000"/>
          <w:szCs w:val="21"/>
        </w:rPr>
        <w:t>．</w:t>
      </w:r>
      <w:r>
        <w:rPr>
          <w:rFonts w:ascii="微软简仿宋" w:eastAsia="微软简仿宋" w:hint="eastAsia"/>
          <w:b/>
          <w:color w:val="000000"/>
          <w:szCs w:val="21"/>
        </w:rPr>
        <w:t>由于甲方的原因，理财资金被有权机关冻结、扣划，乙方不承担责任。</w:t>
      </w:r>
    </w:p>
    <w:p w14:paraId="245A7A5C"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十三、违约责任</w:t>
      </w:r>
    </w:p>
    <w:p w14:paraId="3E14E4B4"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甲方违反本协议所作声明或保证的，应承担相应违约责任。乙方对由此导致的甲方损失不承担责任，并有权单方终止双方的理财业务关系。</w:t>
      </w:r>
    </w:p>
    <w:p w14:paraId="4296999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2</w:t>
      </w:r>
      <w:r>
        <w:rPr>
          <w:rFonts w:ascii="微软简仿宋" w:eastAsia="微软简仿宋" w:hint="eastAsia"/>
          <w:bCs/>
          <w:color w:val="000000"/>
          <w:szCs w:val="21"/>
        </w:rPr>
        <w:t>．</w:t>
      </w:r>
      <w:r>
        <w:rPr>
          <w:rFonts w:ascii="微软简仿宋" w:eastAsia="微软简仿宋" w:hint="eastAsia"/>
          <w:color w:val="000000"/>
          <w:szCs w:val="21"/>
        </w:rPr>
        <w:t>因甲方违反协议约定给乙方或理财产品其他投资者造成损失的，甲方应承担相应的赔偿责任。</w:t>
      </w:r>
    </w:p>
    <w:p w14:paraId="268F2BA5"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甲方更换资金账户时，应及时通知乙方或代销机构并办理变更手续。甲方认购或申购理财产品时所登记的通讯方式及其他基本信息发生变更时，应及时通知乙方或代销机构。</w:t>
      </w:r>
      <w:r>
        <w:rPr>
          <w:rFonts w:ascii="微软简仿宋" w:eastAsia="微软简仿宋" w:hint="eastAsia"/>
          <w:b/>
          <w:bCs/>
          <w:color w:val="000000"/>
          <w:szCs w:val="21"/>
        </w:rPr>
        <w:t>乙方提示甲方注意：因甲方留存信息有误或未及时通知理财产品销售机构变更信息导致的不利后果由甲方承担。</w:t>
      </w:r>
    </w:p>
    <w:p w14:paraId="5D8A2119"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4</w:t>
      </w:r>
      <w:r>
        <w:rPr>
          <w:rFonts w:ascii="微软简仿宋" w:eastAsia="微软简仿宋" w:hint="eastAsia"/>
          <w:bCs/>
          <w:color w:val="000000"/>
          <w:szCs w:val="21"/>
        </w:rPr>
        <w:t>．</w:t>
      </w:r>
      <w:r>
        <w:rPr>
          <w:rFonts w:ascii="微软简仿宋" w:eastAsia="微软简仿宋" w:hint="eastAsia"/>
          <w:color w:val="000000"/>
          <w:szCs w:val="21"/>
        </w:rPr>
        <w:t>因乙方违反本协议及</w:t>
      </w:r>
      <w:r>
        <w:rPr>
          <w:rFonts w:ascii="微软简仿宋" w:eastAsia="微软简仿宋"/>
          <w:color w:val="000000"/>
          <w:szCs w:val="21"/>
        </w:rPr>
        <w:t>理财产品销售文件</w:t>
      </w:r>
      <w:r>
        <w:rPr>
          <w:rFonts w:ascii="微软简仿宋" w:eastAsia="微软简仿宋" w:hint="eastAsia"/>
          <w:color w:val="000000"/>
          <w:szCs w:val="21"/>
        </w:rPr>
        <w:t>的约定给甲方造成损失的，乙方应承担相应赔偿责任。</w:t>
      </w:r>
    </w:p>
    <w:p w14:paraId="172492DA"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5</w:t>
      </w:r>
      <w:r>
        <w:rPr>
          <w:rFonts w:ascii="微软简仿宋" w:eastAsia="微软简仿宋" w:hint="eastAsia"/>
          <w:bCs/>
          <w:color w:val="000000"/>
          <w:szCs w:val="21"/>
        </w:rPr>
        <w:t>．</w:t>
      </w:r>
      <w:r>
        <w:rPr>
          <w:rFonts w:ascii="微软简仿宋" w:eastAsia="微软简仿宋" w:hint="eastAsia"/>
          <w:color w:val="000000"/>
          <w:szCs w:val="21"/>
        </w:rPr>
        <w:t>发生不可抗力，导致双方不能继续履行理财协议时，应根据不可抗力的影响程度，全部或部分免除未履约方的责任，但法律法规、监管另有规定的除外。一方当事人因不可抗力事件导致无法履行理财协议时，应及时通知对方，并应采取适当措施防止损失扩大。</w:t>
      </w:r>
    </w:p>
    <w:p w14:paraId="712275B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6</w:t>
      </w:r>
      <w:r>
        <w:rPr>
          <w:rFonts w:ascii="微软简仿宋" w:eastAsia="微软简仿宋" w:hint="eastAsia"/>
          <w:bCs/>
          <w:color w:val="000000"/>
          <w:szCs w:val="21"/>
        </w:rPr>
        <w:t>．</w:t>
      </w:r>
      <w:r>
        <w:rPr>
          <w:rFonts w:ascii="微软简仿宋" w:eastAsia="微软简仿宋" w:hint="eastAsia"/>
          <w:color w:val="000000"/>
          <w:szCs w:val="21"/>
        </w:rPr>
        <w:t>因法律法规、监管规定调整，导致双方不能履行理财协议时，应根据其影响程度，部分或全部免除未履约方的责任。一方当事人因上述原因无法履行理财协议时，应及时通知对方并应采取适当措施防止损失扩大。</w:t>
      </w:r>
    </w:p>
    <w:p w14:paraId="520A89A7"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b/>
          <w:bCs/>
          <w:color w:val="000000"/>
          <w:szCs w:val="21"/>
        </w:rPr>
      </w:pPr>
      <w:r>
        <w:rPr>
          <w:rFonts w:ascii="微软简仿宋" w:eastAsia="微软简仿宋" w:hint="eastAsia"/>
          <w:b/>
          <w:bCs/>
          <w:color w:val="000000"/>
          <w:szCs w:val="21"/>
        </w:rPr>
        <w:t>十四、争议的处理</w:t>
      </w:r>
    </w:p>
    <w:p w14:paraId="794FB0E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当事人发生纠纷的，双方应首先本着诚实信用原则通过协商解决。协商不成的，任何一方均可向被告所在地有管辖权的人民法院提起诉讼。</w:t>
      </w:r>
    </w:p>
    <w:p w14:paraId="01422A3F" w14:textId="77777777" w:rsidR="0074532A" w:rsidRDefault="00000000">
      <w:pPr>
        <w:pStyle w:val="7063fc63"/>
        <w:adjustRightInd w:val="0"/>
        <w:snapToGrid w:val="0"/>
        <w:spacing w:line="360" w:lineRule="auto"/>
        <w:ind w:firstLineChars="200" w:firstLine="420"/>
        <w:rPr>
          <w:rFonts w:ascii="微软简仿宋" w:eastAsia="微软简仿宋"/>
          <w:b/>
          <w:color w:val="000000"/>
          <w:szCs w:val="21"/>
        </w:rPr>
      </w:pPr>
      <w:r>
        <w:rPr>
          <w:rFonts w:ascii="微软简仿宋" w:eastAsia="微软简仿宋" w:hint="eastAsia"/>
          <w:b/>
          <w:color w:val="000000"/>
          <w:szCs w:val="21"/>
        </w:rPr>
        <w:t>十五、销售文件留存</w:t>
      </w:r>
    </w:p>
    <w:p w14:paraId="625B5979"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本协议经甲方签署（包括线下签约和电子渠道签约）后，甲方可向</w:t>
      </w:r>
      <w:r>
        <w:rPr>
          <w:rFonts w:ascii="微软简仿宋" w:eastAsia="微软简仿宋"/>
          <w:b/>
          <w:bCs/>
          <w:color w:val="000000"/>
          <w:szCs w:val="21"/>
        </w:rPr>
        <w:t>理财产品销售机构索</w:t>
      </w:r>
      <w:r>
        <w:rPr>
          <w:rFonts w:ascii="微软简仿宋" w:eastAsia="微软简仿宋"/>
          <w:b/>
          <w:bCs/>
          <w:color w:val="000000"/>
          <w:szCs w:val="21"/>
        </w:rPr>
        <w:lastRenderedPageBreak/>
        <w:t>取</w:t>
      </w:r>
      <w:r>
        <w:rPr>
          <w:rFonts w:ascii="微软简仿宋" w:eastAsia="微软简仿宋" w:hint="eastAsia"/>
          <w:b/>
          <w:bCs/>
          <w:color w:val="000000"/>
          <w:szCs w:val="21"/>
        </w:rPr>
        <w:t>留存。甲方未留存</w:t>
      </w:r>
      <w:r>
        <w:rPr>
          <w:rFonts w:ascii="微软简仿宋" w:eastAsia="微软简仿宋"/>
          <w:b/>
          <w:bCs/>
          <w:color w:val="000000"/>
          <w:szCs w:val="21"/>
        </w:rPr>
        <w:t>的</w:t>
      </w:r>
      <w:r>
        <w:rPr>
          <w:rFonts w:ascii="微软简仿宋" w:eastAsia="微软简仿宋" w:hint="eastAsia"/>
          <w:b/>
          <w:bCs/>
          <w:color w:val="000000"/>
          <w:szCs w:val="21"/>
        </w:rPr>
        <w:t>，视为甲方自动放弃留存相关文件的权利，并自行承担由此可能导致的不利影响或后果。</w:t>
      </w:r>
    </w:p>
    <w:p w14:paraId="658465B3" w14:textId="77777777" w:rsidR="0074532A" w:rsidRDefault="00000000">
      <w:pPr>
        <w:pStyle w:val="7063fc63"/>
        <w:adjustRightInd w:val="0"/>
        <w:snapToGrid w:val="0"/>
        <w:spacing w:line="360" w:lineRule="auto"/>
        <w:ind w:firstLineChars="200" w:firstLine="420"/>
        <w:jc w:val="left"/>
        <w:outlineLvl w:val="0"/>
        <w:rPr>
          <w:rFonts w:ascii="微软简仿宋" w:eastAsia="微软简仿宋"/>
          <w:color w:val="000000"/>
          <w:szCs w:val="21"/>
        </w:rPr>
      </w:pPr>
      <w:r>
        <w:rPr>
          <w:rFonts w:ascii="微软简仿宋" w:eastAsia="微软简仿宋" w:hint="eastAsia"/>
          <w:b/>
          <w:bCs/>
          <w:color w:val="000000"/>
          <w:szCs w:val="21"/>
        </w:rPr>
        <w:t>十六、协议的生效</w:t>
      </w:r>
    </w:p>
    <w:p w14:paraId="233E7B2A" w14:textId="77777777" w:rsidR="0074532A" w:rsidRDefault="00000000">
      <w:pPr>
        <w:pStyle w:val="7063fc63"/>
        <w:adjustRightInd w:val="0"/>
        <w:snapToGrid w:val="0"/>
        <w:spacing w:line="360" w:lineRule="auto"/>
        <w:ind w:firstLineChars="200" w:firstLine="420"/>
        <w:outlineLvl w:val="1"/>
        <w:rPr>
          <w:rFonts w:ascii="微软简仿宋" w:eastAsia="微软简仿宋"/>
          <w:color w:val="000000"/>
          <w:szCs w:val="21"/>
        </w:rPr>
      </w:pPr>
      <w:r>
        <w:rPr>
          <w:rFonts w:ascii="微软简仿宋" w:eastAsia="微软简仿宋" w:hint="eastAsia"/>
          <w:color w:val="000000"/>
          <w:szCs w:val="21"/>
        </w:rPr>
        <w:t>（一）协议生效</w:t>
      </w:r>
    </w:p>
    <w:p w14:paraId="2F07CCC1"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甲方通过销售机构网点柜面渠道签署本协议的，经甲方签字或</w:t>
      </w:r>
      <w:r>
        <w:rPr>
          <w:rFonts w:ascii="微软简仿宋" w:eastAsia="微软简仿宋"/>
          <w:b/>
          <w:bCs/>
          <w:color w:val="000000"/>
          <w:szCs w:val="21"/>
        </w:rPr>
        <w:t>加盖有效印章</w:t>
      </w:r>
      <w:r>
        <w:rPr>
          <w:rFonts w:ascii="微软简仿宋" w:eastAsia="微软简仿宋" w:hint="eastAsia"/>
          <w:b/>
          <w:bCs/>
          <w:color w:val="000000"/>
          <w:szCs w:val="21"/>
        </w:rPr>
        <w:t>后生效。</w:t>
      </w:r>
    </w:p>
    <w:p w14:paraId="5946E16D"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通过销售机构电子渠道签署本协议的，自甲方通过销售机构电子渠道确认同意后且乙方确认甲方成功认/申购并收到甲方缴付的全部投资本金之日起生效。甲方认可线上点击同意具有与书面签署同等的法律效力。</w:t>
      </w:r>
    </w:p>
    <w:p w14:paraId="0F430039"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甲方知悉并确认，乙方对于理财产品项下甲方认/申购份额的确认即视为乙方对于本协议的签署和认可；甲方不得以乙方不在本协议中签章为由主张本协议不成立或不生效。</w:t>
      </w:r>
    </w:p>
    <w:p w14:paraId="186C3438"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（二）协议的终止</w:t>
      </w:r>
    </w:p>
    <w:p w14:paraId="0A1C13F3" w14:textId="77777777" w:rsidR="0074532A" w:rsidRDefault="00000000">
      <w:pPr>
        <w:pStyle w:val="7063fc63"/>
        <w:tabs>
          <w:tab w:val="left" w:pos="312"/>
        </w:tabs>
        <w:adjustRightInd w:val="0"/>
        <w:snapToGrid w:val="0"/>
        <w:spacing w:line="360" w:lineRule="auto"/>
        <w:ind w:firstLineChars="200" w:firstLine="420"/>
        <w:rPr>
          <w:rFonts w:ascii="微软简仿宋" w:eastAsia="微软简仿宋"/>
          <w:color w:val="000000"/>
          <w:szCs w:val="21"/>
        </w:rPr>
      </w:pPr>
      <w:r>
        <w:rPr>
          <w:rFonts w:ascii="微软简仿宋" w:eastAsia="微软简仿宋"/>
          <w:color w:val="000000"/>
          <w:szCs w:val="21"/>
        </w:rPr>
        <w:t>1</w:t>
      </w:r>
      <w:r>
        <w:rPr>
          <w:rFonts w:ascii="微软简仿宋" w:eastAsia="微软简仿宋" w:hint="eastAsia"/>
          <w:bCs/>
          <w:color w:val="000000"/>
          <w:szCs w:val="21"/>
        </w:rPr>
        <w:t>．</w:t>
      </w:r>
      <w:r>
        <w:rPr>
          <w:rFonts w:ascii="微软简仿宋" w:eastAsia="微软简仿宋" w:hint="eastAsia"/>
          <w:color w:val="000000"/>
          <w:szCs w:val="21"/>
        </w:rPr>
        <w:t>除按产品说明书约定甲方或乙方享有的提前终止权外，甲方有违约行为或交易资金被国家有权机关采取保全措施时，乙方有权提前终止本协议。</w:t>
      </w:r>
    </w:p>
    <w:p w14:paraId="72360F51" w14:textId="77777777" w:rsidR="0074532A" w:rsidRDefault="00000000">
      <w:pPr>
        <w:pStyle w:val="7063fc63"/>
        <w:tabs>
          <w:tab w:val="left" w:pos="312"/>
        </w:tabs>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b/>
          <w:color w:val="000000"/>
          <w:szCs w:val="21"/>
        </w:rPr>
        <w:t>2</w:t>
      </w:r>
      <w:r>
        <w:rPr>
          <w:rFonts w:ascii="微软简仿宋" w:eastAsia="微软简仿宋" w:hint="eastAsia"/>
          <w:b/>
          <w:bCs/>
          <w:color w:val="000000"/>
          <w:szCs w:val="21"/>
        </w:rPr>
        <w:t>．乙方宣布理财计划设立失败、甲方全部赎回理财产品份额或理财产品到期并完成清算分配后，本协议自动终止。甲方通过乙方或代销机构提交的理财产品赎回/撤单申请，按产品说明书约定经乙方或销售机构确认后方可生效。</w:t>
      </w:r>
    </w:p>
    <w:p w14:paraId="1EF67F8D" w14:textId="77777777" w:rsidR="0074532A" w:rsidRDefault="00000000">
      <w:pPr>
        <w:pStyle w:val="7063fc63"/>
        <w:adjustRightInd w:val="0"/>
        <w:snapToGrid w:val="0"/>
        <w:spacing w:line="360" w:lineRule="auto"/>
        <w:ind w:firstLine="420"/>
        <w:rPr>
          <w:rFonts w:ascii="微软简仿宋" w:eastAsia="微软简仿宋"/>
          <w:color w:val="000000"/>
          <w:szCs w:val="21"/>
        </w:rPr>
      </w:pPr>
      <w:r>
        <w:rPr>
          <w:rFonts w:ascii="微软简仿宋" w:eastAsia="微软简仿宋" w:hint="eastAsia"/>
          <w:color w:val="000000"/>
          <w:szCs w:val="21"/>
        </w:rPr>
        <w:t>3</w:t>
      </w:r>
      <w:r>
        <w:rPr>
          <w:rFonts w:ascii="微软简仿宋" w:eastAsia="微软简仿宋" w:hint="eastAsia"/>
          <w:bCs/>
          <w:color w:val="000000"/>
          <w:szCs w:val="21"/>
        </w:rPr>
        <w:t>．</w:t>
      </w:r>
      <w:r>
        <w:rPr>
          <w:rFonts w:ascii="微软简仿宋" w:eastAsia="微软简仿宋" w:hint="eastAsia"/>
          <w:color w:val="000000"/>
          <w:szCs w:val="21"/>
        </w:rPr>
        <w:t>本协议及产品说明书项下各方权利义务履行完毕之日，本协议自动终止。</w:t>
      </w:r>
    </w:p>
    <w:p w14:paraId="71881811" w14:textId="77777777" w:rsidR="0074532A" w:rsidRDefault="0074532A">
      <w:pPr>
        <w:pStyle w:val="7063fc63"/>
        <w:adjustRightInd w:val="0"/>
        <w:snapToGrid w:val="0"/>
        <w:spacing w:line="360" w:lineRule="auto"/>
        <w:ind w:firstLineChars="200" w:firstLine="420"/>
        <w:rPr>
          <w:rFonts w:ascii="微软简仿宋" w:eastAsia="微软简仿宋"/>
          <w:color w:val="000000"/>
          <w:szCs w:val="21"/>
        </w:rPr>
      </w:pPr>
    </w:p>
    <w:p w14:paraId="0D1027D5" w14:textId="77777777" w:rsidR="0074532A" w:rsidRDefault="00000000">
      <w:pPr>
        <w:pStyle w:val="7063fc63"/>
        <w:adjustRightInd w:val="0"/>
        <w:snapToGrid w:val="0"/>
        <w:spacing w:line="360" w:lineRule="auto"/>
        <w:ind w:firstLineChars="200" w:firstLine="420"/>
        <w:rPr>
          <w:rFonts w:ascii="微软简仿宋" w:eastAsia="微软简仿宋"/>
          <w:b/>
          <w:bCs/>
          <w:color w:val="000000"/>
          <w:szCs w:val="21"/>
        </w:rPr>
      </w:pPr>
      <w:r>
        <w:rPr>
          <w:rFonts w:ascii="微软简仿宋" w:eastAsia="微软简仿宋" w:hint="eastAsia"/>
          <w:b/>
          <w:bCs/>
          <w:color w:val="000000"/>
          <w:szCs w:val="21"/>
        </w:rPr>
        <w:t>甲方确认已完整阅读本产品风险揭示书、产品说明书及本协议，并知悉确认全部条款，基于自身独立判断签署本协议。甲方知悉并确认乙方对于理财产品项下甲方认/申购份额的确认即视为乙方对于本协议的签署和认可，甲方不得以乙方不在本协议中签章为由主张本协议不成立或不生效。</w:t>
      </w:r>
    </w:p>
    <w:p w14:paraId="3FD4E055" w14:textId="77777777" w:rsidR="0074532A" w:rsidRDefault="0074532A">
      <w:pPr>
        <w:pStyle w:val="7063fc63"/>
        <w:adjustRightInd w:val="0"/>
        <w:snapToGrid w:val="0"/>
        <w:spacing w:line="360" w:lineRule="auto"/>
        <w:ind w:firstLineChars="200" w:firstLine="420"/>
        <w:rPr>
          <w:rFonts w:ascii="微软简仿宋" w:eastAsia="微软简仿宋"/>
          <w:b/>
          <w:bCs/>
          <w:color w:val="000000"/>
          <w:szCs w:val="21"/>
        </w:rPr>
      </w:pPr>
    </w:p>
    <w:p w14:paraId="64AF016E" w14:textId="77777777" w:rsidR="0074532A" w:rsidRDefault="0074532A">
      <w:pPr>
        <w:pStyle w:val="7063fc63"/>
        <w:adjustRightInd w:val="0"/>
        <w:snapToGrid w:val="0"/>
        <w:spacing w:line="360" w:lineRule="auto"/>
        <w:ind w:firstLineChars="200" w:firstLine="420"/>
        <w:rPr>
          <w:rFonts w:ascii="微软简仿宋" w:eastAsia="微软简仿宋"/>
          <w:b/>
          <w:bCs/>
          <w:color w:val="000000"/>
          <w:szCs w:val="21"/>
        </w:rPr>
      </w:pPr>
    </w:p>
    <w:p w14:paraId="28D6D006" w14:textId="77777777" w:rsidR="0074532A" w:rsidRDefault="0074532A">
      <w:pPr>
        <w:pStyle w:val="7063fc63"/>
        <w:adjustRightInd w:val="0"/>
        <w:snapToGrid w:val="0"/>
        <w:spacing w:line="360" w:lineRule="auto"/>
        <w:ind w:firstLineChars="200" w:firstLine="420"/>
      </w:pPr>
    </w:p>
    <w:p w14:paraId="53F741B5" w14:textId="77777777" w:rsidR="0074532A" w:rsidRDefault="00000000">
      <w:pPr>
        <w:pStyle w:val="7063fc63"/>
        <w:adjustRightInd w:val="0"/>
        <w:snapToGrid w:val="0"/>
        <w:spacing w:line="360" w:lineRule="auto"/>
        <w:ind w:firstLineChars="200" w:firstLine="420"/>
        <w:rPr>
          <w:rFonts w:ascii="微软简仿宋" w:eastAsia="微软简仿宋"/>
          <w:color w:val="000000"/>
          <w:szCs w:val="21"/>
        </w:rPr>
      </w:pPr>
      <w:r>
        <w:rPr>
          <w:rFonts w:ascii="微软简仿宋" w:eastAsia="微软简仿宋" w:hint="eastAsia"/>
          <w:color w:val="000000"/>
          <w:szCs w:val="21"/>
        </w:rPr>
        <w:t>甲方自然人（签字或线上确认同意）：            乙方：华夏</w:t>
      </w:r>
      <w:r>
        <w:rPr>
          <w:rFonts w:ascii="微软简仿宋" w:eastAsia="微软简仿宋"/>
          <w:color w:val="000000"/>
          <w:szCs w:val="21"/>
        </w:rPr>
        <w:t>理财有限责任</w:t>
      </w:r>
      <w:r>
        <w:rPr>
          <w:rFonts w:ascii="微软简仿宋" w:eastAsia="微软简仿宋" w:hint="eastAsia"/>
          <w:color w:val="000000"/>
          <w:szCs w:val="21"/>
        </w:rPr>
        <w:t>公司</w:t>
      </w:r>
    </w:p>
    <w:p w14:paraId="4FA09A30" w14:textId="77777777" w:rsidR="0074532A" w:rsidRDefault="0074532A">
      <w:pPr>
        <w:pStyle w:val="7063fc63"/>
        <w:adjustRightInd w:val="0"/>
        <w:snapToGrid w:val="0"/>
        <w:spacing w:line="360" w:lineRule="auto"/>
        <w:ind w:firstLineChars="200" w:firstLine="420"/>
        <w:rPr>
          <w:rFonts w:ascii="微软简仿宋" w:eastAsia="微软简仿宋"/>
          <w:color w:val="000000"/>
          <w:szCs w:val="21"/>
        </w:rPr>
      </w:pPr>
    </w:p>
    <w:p w14:paraId="5F4810AE" w14:textId="77777777" w:rsidR="0074532A" w:rsidRDefault="00000000">
      <w:pPr>
        <w:pStyle w:val="7063fc6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（或）法人或其他组织（盖章或线上确认同意）</w:t>
      </w:r>
    </w:p>
    <w:p w14:paraId="6AB4DCF8" w14:textId="77777777" w:rsidR="0074532A" w:rsidRDefault="00000000">
      <w:pPr>
        <w:pStyle w:val="7063fc63"/>
        <w:adjustRightInd w:val="0"/>
        <w:snapToGrid w:val="0"/>
        <w:spacing w:line="360" w:lineRule="auto"/>
        <w:ind w:firstLineChars="100" w:firstLine="210"/>
        <w:rPr>
          <w:rFonts w:ascii="微软简仿宋" w:eastAsia="微软简仿宋"/>
          <w:color w:val="000000"/>
          <w:szCs w:val="21"/>
        </w:rPr>
      </w:pPr>
      <w:r>
        <w:rPr>
          <w:rFonts w:ascii="微软简仿宋" w:eastAsia="微软简仿宋" w:hint="eastAsia"/>
          <w:color w:val="000000"/>
          <w:szCs w:val="21"/>
        </w:rPr>
        <w:t xml:space="preserve">法定代表人或授权代表（签章或线上确认同意）                         </w:t>
      </w:r>
    </w:p>
    <w:p w14:paraId="378DF64D" w14:textId="77777777" w:rsidR="00032003" w:rsidRDefault="00000000">
      <w:pPr>
        <w:pStyle w:val="7063fc63"/>
        <w:adjustRightInd w:val="0"/>
        <w:snapToGrid w:val="0"/>
        <w:spacing w:line="360" w:lineRule="auto"/>
        <w:ind w:firstLineChars="200" w:firstLine="420"/>
        <w:jc w:val="right"/>
      </w:pPr>
      <w:r>
        <w:rPr>
          <w:rFonts w:ascii="微软简仿宋" w:eastAsia="微软简仿宋" w:hint="eastAsia"/>
          <w:color w:val="000000"/>
          <w:szCs w:val="21"/>
        </w:rPr>
        <w:t>年    月      日</w:t>
      </w:r>
    </w:p>
    <w:p>
      <w:pPr>
        <w:pStyle w:val="7063fc63"/>
        <w:pageBreakBefore w:val="true"/>
      </w:pPr>
    </w:p>
    <w:p>
      <w:pPr>
        <w:pStyle w:val="86753cc2"/>
        <w:snapToGrid w:val="0"/>
        <w:spacing w:line="276" w:lineRule="auto"/>
        <w:jc w:val="center"/>
        <w:rPr>
          <w:rFonts w:ascii="Times New Roman" w:hAnsi="Times New Roman"/>
          <w:b/>
          <w:sz w:val="30"/>
          <w:szCs w:val="30"/>
        </w:rPr>
      </w:pPr>
      <w:r>
        <w:rPr>
          <w:rFonts w:ascii="Times New Roman" w:hAnsi="Times New Roman"/>
          <w:b/>
          <w:sz w:val="30"/>
          <w:szCs w:val="30"/>
        </w:rPr>
        <w:t>理财产品代理销售协议书</w:t>
      </w:r>
    </w:p>
    <w:p>
      <w:pPr>
        <w:pStyle w:val="86753cc2"/>
        <w:snapToGrid w:val="0"/>
        <w:spacing w:line="276" w:lineRule="auto"/>
        <w:jc w:val="center"/>
        <w:rPr>
          <w:rFonts w:ascii="Times New Roman" w:hAnsi="Times New Roman" w:eastAsia="仿宋_GB2312"/>
          <w:szCs w:val="21"/>
        </w:rPr>
      </w:pPr>
    </w:p>
    <w:p>
      <w:pPr>
        <w:pStyle w:val="86753cc2"/>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本协议的甲方指</w:t>
      </w:r>
      <w:r>
        <w:rPr>
          <w:rFonts w:hint="eastAsia" w:ascii="Times New Roman" w:hAnsi="Times New Roman"/>
          <w:spacing w:val="-6"/>
          <w:szCs w:val="21"/>
          <w:lang w:val="en-US" w:eastAsia="zh-CN"/>
        </w:rPr>
        <w:t>个人</w:t>
      </w:r>
      <w:r>
        <w:rPr>
          <w:rFonts w:hint="eastAsia" w:ascii="Times New Roman" w:hAnsi="Times New Roman"/>
          <w:spacing w:val="-6"/>
          <w:szCs w:val="21"/>
        </w:rPr>
        <w:t>投资者</w:t>
      </w:r>
      <w:r>
        <w:rPr>
          <w:rFonts w:ascii="Times New Roman" w:hAnsi="Times New Roman"/>
          <w:spacing w:val="-6"/>
          <w:szCs w:val="21"/>
        </w:rPr>
        <w:t>，乙方指</w:t>
      </w:r>
      <w:r>
        <w:rPr>
          <w:rFonts w:hint="eastAsia" w:ascii="Times New Roman" w:hAnsi="Times New Roman"/>
          <w:spacing w:val="-6"/>
          <w:szCs w:val="21"/>
          <w:highlight w:val="none"/>
          <w:lang w:val="en-US" w:eastAsia="zh-CN"/>
        </w:rPr>
        <w:t>厦门银行股份有限公司</w:t>
      </w:r>
      <w:r>
        <w:rPr>
          <w:rFonts w:ascii="Times New Roman" w:hAnsi="Times New Roman"/>
          <w:spacing w:val="-6"/>
          <w:szCs w:val="21"/>
          <w:highlight w:val="none"/>
        </w:rPr>
        <w:t>。</w:t>
      </w:r>
    </w:p>
    <w:p>
      <w:pPr>
        <w:pStyle w:val="86753cc2"/>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乙方为理财产品代理销售机构，接受理财产品发行</w:t>
      </w:r>
      <w:r>
        <w:rPr>
          <w:rFonts w:hint="eastAsia" w:ascii="Times New Roman" w:hAnsi="Times New Roman"/>
          <w:spacing w:val="-6"/>
          <w:szCs w:val="21"/>
        </w:rPr>
        <w:t>与管理</w:t>
      </w:r>
      <w:r>
        <w:rPr>
          <w:rFonts w:ascii="Times New Roman" w:hAnsi="Times New Roman"/>
          <w:spacing w:val="-6"/>
          <w:szCs w:val="21"/>
        </w:rPr>
        <w:t>机构的委托</w:t>
      </w:r>
      <w:r>
        <w:rPr>
          <w:rFonts w:hint="eastAsia" w:ascii="Times New Roman" w:hAnsi="Times New Roman"/>
          <w:spacing w:val="-6"/>
          <w:szCs w:val="21"/>
          <w:lang w:eastAsia="zh-CN"/>
        </w:rPr>
        <w:t>，</w:t>
      </w:r>
      <w:r>
        <w:rPr>
          <w:rFonts w:ascii="Times New Roman" w:hAnsi="Times New Roman"/>
          <w:spacing w:val="-6"/>
          <w:szCs w:val="21"/>
        </w:rPr>
        <w:t>销售其发行</w:t>
      </w:r>
      <w:r>
        <w:rPr>
          <w:rFonts w:hint="eastAsia" w:ascii="Times New Roman" w:hAnsi="Times New Roman"/>
          <w:spacing w:val="-6"/>
          <w:szCs w:val="21"/>
        </w:rPr>
        <w:t>与管理</w:t>
      </w:r>
      <w:r>
        <w:rPr>
          <w:rFonts w:ascii="Times New Roman" w:hAnsi="Times New Roman"/>
          <w:spacing w:val="-6"/>
          <w:szCs w:val="21"/>
        </w:rPr>
        <w:t>的理财产品，甲方自愿购买乙方代理销售的理财产品。为规范甲乙双方在理财产品代理销售业务中权利和义务，经甲乙双方协商一致，达成协议如下：</w:t>
      </w:r>
    </w:p>
    <w:p>
      <w:pPr>
        <w:pStyle w:val="86753cc2"/>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一、重要提示</w:t>
      </w:r>
    </w:p>
    <w:p>
      <w:pPr>
        <w:pStyle w:val="86753cc2"/>
        <w:autoSpaceDE w:val="0"/>
        <w:autoSpaceDN w:val="0"/>
        <w:adjustRightInd w:val="0"/>
        <w:snapToGrid w:val="0"/>
        <w:spacing w:line="276" w:lineRule="auto"/>
        <w:ind w:firstLine="398" w:firstLineChars="200"/>
        <w:rPr>
          <w:rFonts w:ascii="Times New Roman" w:hAnsi="Times New Roman"/>
          <w:szCs w:val="21"/>
        </w:rPr>
      </w:pPr>
      <w:r>
        <w:rPr>
          <w:rFonts w:ascii="Times New Roman" w:hAnsi="Times New Roman"/>
          <w:b/>
          <w:bCs/>
          <w:spacing w:val="-6"/>
          <w:szCs w:val="21"/>
        </w:rPr>
        <w:t>1.风险揭示：</w:t>
      </w:r>
      <w:r>
        <w:rPr>
          <w:rFonts w:ascii="Times New Roman" w:hAnsi="Times New Roman"/>
          <w:b/>
          <w:bCs/>
          <w:szCs w:val="21"/>
        </w:rPr>
        <w:t>理财非存款、产品有风险、投资须谨慎。</w:t>
      </w:r>
      <w:r>
        <w:rPr>
          <w:rFonts w:ascii="Times New Roman" w:hAnsi="Times New Roman"/>
          <w:szCs w:val="21"/>
        </w:rPr>
        <w:t>本产品可能面临信用风险、市场风险、流动性风险等风险因素，具体详见销售文件。该等风险管理责任由</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承担，乙方不承担产品的风险管理责任。甲方在签署本协议前，应仔细阅读并充分理解拟认购理财产品销售文件的详细条款，并充分了解投资者的全部权利与义务以及产品可能发生的风险。其中，销售文件包括《理财产品投资协议书》、《代理销售协议书》、《理财产品说明书》、《风险揭示书》、《投资者权益须知》等。</w:t>
      </w:r>
    </w:p>
    <w:p>
      <w:pPr>
        <w:pStyle w:val="86753cc2"/>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2.</w:t>
      </w:r>
      <w:r>
        <w:rPr>
          <w:rFonts w:ascii="Times New Roman" w:hAnsi="Times New Roman"/>
          <w:b/>
          <w:bCs/>
          <w:spacing w:val="-6"/>
          <w:szCs w:val="21"/>
        </w:rPr>
        <w:t>本产品非乙方所发行的理财产品，乙方仅作为本产品的代理销售机构，非本产品的发行与管理机构，对本产品的业绩不做任何保证，不承担本产品的投资、兑付和风险管理责任。</w:t>
      </w:r>
      <w:r>
        <w:rPr>
          <w:rFonts w:ascii="Times New Roman" w:hAnsi="Times New Roman"/>
          <w:spacing w:val="-6"/>
          <w:szCs w:val="21"/>
        </w:rPr>
        <w:t>乙方受理的代销理财产品业务申请，以</w:t>
      </w:r>
      <w:r>
        <w:rPr>
          <w:rFonts w:hint="eastAsia" w:ascii="Times New Roman" w:hAnsi="Times New Roman"/>
          <w:spacing w:val="-6"/>
          <w:szCs w:val="21"/>
          <w:lang w:val="en-US" w:eastAsia="zh-CN"/>
        </w:rPr>
        <w:t>理财</w:t>
      </w:r>
      <w:r>
        <w:rPr>
          <w:rFonts w:ascii="Times New Roman" w:hAnsi="Times New Roman"/>
          <w:spacing w:val="-6"/>
          <w:szCs w:val="21"/>
        </w:rPr>
        <w:t>产品发行</w:t>
      </w:r>
      <w:r>
        <w:rPr>
          <w:rFonts w:hint="eastAsia" w:ascii="Times New Roman" w:hAnsi="Times New Roman"/>
          <w:spacing w:val="-6"/>
          <w:szCs w:val="21"/>
          <w:lang w:val="en-US" w:eastAsia="zh-CN"/>
        </w:rPr>
        <w:t>与管理</w:t>
      </w:r>
      <w:r>
        <w:rPr>
          <w:rFonts w:ascii="Times New Roman" w:hAnsi="Times New Roman"/>
          <w:spacing w:val="-6"/>
          <w:szCs w:val="21"/>
        </w:rPr>
        <w:t>机构的最终确认结果为准。</w:t>
      </w:r>
    </w:p>
    <w:p>
      <w:pPr>
        <w:pStyle w:val="86753cc2"/>
        <w:autoSpaceDE w:val="0"/>
        <w:autoSpaceDN w:val="0"/>
        <w:adjustRightInd w:val="0"/>
        <w:snapToGrid w:val="0"/>
        <w:spacing w:line="276" w:lineRule="auto"/>
        <w:ind w:firstLine="398" w:firstLineChars="200"/>
        <w:rPr>
          <w:rFonts w:ascii="Times New Roman" w:hAnsi="Times New Roman"/>
          <w:b/>
          <w:bCs/>
          <w:spacing w:val="-6"/>
          <w:szCs w:val="21"/>
        </w:rPr>
      </w:pPr>
      <w:r>
        <w:rPr>
          <w:rFonts w:ascii="Times New Roman" w:hAnsi="Times New Roman"/>
          <w:b/>
          <w:bCs/>
          <w:spacing w:val="-6"/>
          <w:szCs w:val="21"/>
        </w:rPr>
        <w:t>3.甲方在购买乙方代销的理财产品前，应进行有效风险承受能力的评估。甲方投资风险承受能力评估结果的有效期为一年，若风险承受能力评估结果已超过有效期或者在评</w:t>
      </w:r>
      <w:r>
        <w:rPr>
          <w:rFonts w:hint="eastAsia" w:ascii="Times New Roman" w:hAnsi="Times New Roman"/>
          <w:b/>
          <w:bCs/>
          <w:spacing w:val="-6"/>
          <w:szCs w:val="21"/>
          <w:lang w:val="en-US" w:eastAsia="zh-CN"/>
        </w:rPr>
        <w:t>估</w:t>
      </w:r>
      <w:r>
        <w:rPr>
          <w:rFonts w:ascii="Times New Roman" w:hAnsi="Times New Roman"/>
          <w:b/>
          <w:bCs/>
          <w:spacing w:val="-6"/>
          <w:szCs w:val="21"/>
        </w:rPr>
        <w:t>结果有效期内发生了可能影响甲方自身风险承受能力的情形，应重新进行风险承受能力评估。</w:t>
      </w:r>
    </w:p>
    <w:p>
      <w:pPr>
        <w:pStyle w:val="86753cc2"/>
        <w:autoSpaceDE w:val="0"/>
        <w:autoSpaceDN w:val="0"/>
        <w:adjustRightInd w:val="0"/>
        <w:snapToGrid w:val="0"/>
        <w:spacing w:line="276" w:lineRule="auto"/>
        <w:ind w:firstLine="396" w:firstLineChars="200"/>
        <w:rPr>
          <w:rFonts w:ascii="Times New Roman" w:hAnsi="Times New Roman"/>
          <w:spacing w:val="-6"/>
          <w:szCs w:val="21"/>
        </w:rPr>
      </w:pPr>
      <w:r>
        <w:rPr>
          <w:rFonts w:ascii="Times New Roman" w:hAnsi="Times New Roman"/>
          <w:spacing w:val="-6"/>
          <w:szCs w:val="21"/>
        </w:rPr>
        <w:t>4.根据理财产品投资范围、风险特征、流动性等不同因素，乙方代销的理财产品分为</w:t>
      </w:r>
      <w:r>
        <w:rPr>
          <w:rFonts w:hint="eastAsia" w:ascii="Times New Roman" w:hAnsi="Times New Roman"/>
          <w:spacing w:val="-6"/>
          <w:szCs w:val="21"/>
          <w:highlight w:val="none"/>
        </w:rPr>
        <w:t>低风险产品、偏低风险产品、中风险产品、偏高风险产品、高风险产品</w:t>
      </w:r>
      <w:r>
        <w:rPr>
          <w:rFonts w:ascii="Times New Roman" w:hAnsi="Times New Roman"/>
          <w:spacing w:val="-6"/>
          <w:szCs w:val="21"/>
          <w:highlight w:val="none"/>
        </w:rPr>
        <w:t>共五个风险等级，与个人客户在乙方评估的风险承受能力等级【</w:t>
      </w:r>
      <w:r>
        <w:rPr>
          <w:rFonts w:hint="eastAsia" w:ascii="Times New Roman" w:hAnsi="Times New Roman"/>
          <w:spacing w:val="-6"/>
          <w:szCs w:val="21"/>
          <w:highlight w:val="none"/>
        </w:rPr>
        <w:t>保守型、稳健型、平衡型、成长型、进取型</w:t>
      </w:r>
      <w:r>
        <w:rPr>
          <w:rFonts w:ascii="Times New Roman" w:hAnsi="Times New Roman"/>
          <w:spacing w:val="-6"/>
          <w:szCs w:val="21"/>
          <w:highlight w:val="none"/>
        </w:rPr>
        <w:t>】共五个等级一一对应。</w:t>
      </w:r>
      <w:r>
        <w:rPr>
          <w:rFonts w:ascii="Times New Roman" w:hAnsi="Times New Roman"/>
          <w:b/>
          <w:bCs/>
          <w:spacing w:val="-6"/>
          <w:szCs w:val="21"/>
          <w:highlight w:val="none"/>
        </w:rPr>
        <w:t>甲方应根据风险承受能力评估结果选择与自身风险承受能力相匹配的理财产品，不得购买高于自身风险承受能力的理财产品。</w:t>
      </w:r>
      <w:r>
        <w:rPr>
          <w:rFonts w:hint="eastAsia" w:ascii="Times New Roman" w:hAnsi="Times New Roman"/>
          <w:b/>
          <w:bCs/>
          <w:spacing w:val="-6"/>
          <w:szCs w:val="21"/>
          <w:highlight w:val="none"/>
          <w:lang w:val="en-US" w:eastAsia="zh-CN"/>
        </w:rPr>
        <w:t>如甲方</w:t>
      </w:r>
      <w:r>
        <w:rPr>
          <w:rFonts w:hint="eastAsia" w:ascii="Times New Roman" w:hAnsi="Times New Roman"/>
          <w:b/>
          <w:bCs/>
          <w:spacing w:val="-6"/>
          <w:szCs w:val="21"/>
          <w:highlight w:val="none"/>
        </w:rPr>
        <w:t>购买理财产品</w:t>
      </w:r>
      <w:r>
        <w:rPr>
          <w:rFonts w:hint="eastAsia" w:ascii="Times New Roman" w:hAnsi="Times New Roman"/>
          <w:b/>
          <w:bCs/>
          <w:spacing w:val="-6"/>
          <w:szCs w:val="21"/>
          <w:highlight w:val="none"/>
          <w:lang w:val="en-US" w:eastAsia="zh-CN"/>
        </w:rPr>
        <w:t>的</w:t>
      </w:r>
      <w:r>
        <w:rPr>
          <w:rFonts w:hint="eastAsia" w:ascii="Times New Roman" w:hAnsi="Times New Roman"/>
          <w:b/>
          <w:bCs/>
          <w:spacing w:val="-6"/>
          <w:szCs w:val="21"/>
          <w:highlight w:val="none"/>
        </w:rPr>
        <w:t>风险等</w:t>
      </w:r>
      <w:r>
        <w:rPr>
          <w:rFonts w:hint="eastAsia" w:ascii="Times New Roman" w:hAnsi="Times New Roman" w:eastAsia="宋体" w:cs="Times New Roman"/>
          <w:b/>
          <w:bCs/>
          <w:spacing w:val="-6"/>
          <w:szCs w:val="21"/>
          <w:highlight w:val="none"/>
        </w:rPr>
        <w:t>级</w:t>
      </w:r>
      <w:r>
        <w:rPr>
          <w:rFonts w:hint="eastAsia" w:ascii="Times New Roman" w:hAnsi="Times New Roman" w:cs="Times New Roman"/>
          <w:b/>
          <w:bCs/>
          <w:spacing w:val="-6"/>
          <w:szCs w:val="21"/>
          <w:highlight w:val="none"/>
          <w:lang w:val="en-US" w:eastAsia="zh-CN"/>
        </w:rPr>
        <w:t>为</w:t>
      </w:r>
      <w:r>
        <w:rPr>
          <w:rFonts w:hint="eastAsia" w:ascii="Times New Roman" w:hAnsi="Times New Roman" w:eastAsia="宋体" w:cs="Times New Roman"/>
          <w:b/>
          <w:bCs/>
          <w:spacing w:val="-6"/>
          <w:szCs w:val="21"/>
          <w:highlight w:val="none"/>
        </w:rPr>
        <w:t>偏高风险及</w:t>
      </w:r>
      <w:r>
        <w:rPr>
          <w:rFonts w:hint="eastAsia" w:ascii="Times New Roman" w:hAnsi="Times New Roman"/>
          <w:b/>
          <w:bCs/>
          <w:spacing w:val="-6"/>
          <w:szCs w:val="21"/>
        </w:rPr>
        <w:t>以上的，除非与乙方</w:t>
      </w:r>
      <w:r>
        <w:rPr>
          <w:rFonts w:hint="eastAsia" w:ascii="Times New Roman" w:hAnsi="Times New Roman"/>
          <w:b/>
          <w:bCs/>
          <w:spacing w:val="-6"/>
          <w:szCs w:val="21"/>
          <w:lang w:val="en-US" w:eastAsia="zh-CN"/>
        </w:rPr>
        <w:t>当面</w:t>
      </w:r>
      <w:r>
        <w:rPr>
          <w:rFonts w:hint="eastAsia" w:ascii="Times New Roman" w:hAnsi="Times New Roman"/>
          <w:b/>
          <w:bCs/>
          <w:spacing w:val="-6"/>
          <w:szCs w:val="21"/>
        </w:rPr>
        <w:t>书面约定，应当在乙方营业网点进行。</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二、甲方声明与承诺</w:t>
      </w:r>
    </w:p>
    <w:p>
      <w:pPr>
        <w:pStyle w:val="86753cc2"/>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1.甲方承诺其购买理财产品的资金为合法自有资金，不存在使用贷款、发行债券</w:t>
      </w:r>
      <w:r>
        <w:rPr>
          <w:rFonts w:hint="eastAsia" w:ascii="Times New Roman" w:hAnsi="Times New Roman"/>
          <w:b/>
          <w:bCs/>
          <w:szCs w:val="21"/>
        </w:rPr>
        <w:t>等</w:t>
      </w:r>
      <w:r>
        <w:rPr>
          <w:rFonts w:ascii="Times New Roman" w:hAnsi="Times New Roman"/>
          <w:b/>
          <w:bCs/>
          <w:szCs w:val="21"/>
        </w:rPr>
        <w:t>筹集</w:t>
      </w:r>
      <w:r>
        <w:rPr>
          <w:rFonts w:hint="eastAsia" w:ascii="Times New Roman" w:hAnsi="Times New Roman"/>
          <w:b/>
          <w:bCs/>
          <w:szCs w:val="21"/>
        </w:rPr>
        <w:t>的非自有资金</w:t>
      </w:r>
      <w:r>
        <w:rPr>
          <w:rFonts w:ascii="Times New Roman" w:hAnsi="Times New Roman"/>
          <w:b/>
          <w:bCs/>
          <w:szCs w:val="21"/>
        </w:rPr>
        <w:t>投资理财产品的情形。甲方承诺投资理财产品使用的资金来源合法合规，并且系为合法之目的投资本理财产品，而非为洗钱等违法犯罪之目的</w:t>
      </w:r>
      <w:r>
        <w:rPr>
          <w:rFonts w:ascii="Times New Roman" w:hAnsi="Times New Roman"/>
          <w:szCs w:val="21"/>
        </w:rPr>
        <w:t>，甲方将配合乙方开展投资者身份识别及尽职调查等反洗钱、反恐怖融资活动及非居民金融账户涉税信息尽职调查，及时、真实、准确、完整提供身份信息及资金来源等信息。</w:t>
      </w:r>
    </w:p>
    <w:p>
      <w:pPr>
        <w:pStyle w:val="86753cc2"/>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2.甲方承诺所提供的所有资料真实、准确、完整、合法、有效，如有变更，</w:t>
      </w:r>
      <w:r>
        <w:rPr>
          <w:rFonts w:ascii="Times New Roman" w:hAnsi="Times New Roman"/>
          <w:b/>
          <w:bCs/>
          <w:szCs w:val="21"/>
          <w:highlight w:val="none"/>
        </w:rPr>
        <w:t>甲方应及时通过乙方营业网点或电子渠道办理变更手续</w:t>
      </w:r>
      <w:r>
        <w:rPr>
          <w:rFonts w:hint="eastAsia" w:ascii="Times New Roman" w:hAnsi="Times New Roman"/>
          <w:b/>
          <w:bCs/>
          <w:szCs w:val="21"/>
          <w:highlight w:val="none"/>
          <w:lang w:eastAsia="zh-CN"/>
        </w:rPr>
        <w:t>。</w:t>
      </w:r>
      <w:r>
        <w:rPr>
          <w:rFonts w:ascii="Times New Roman" w:hAnsi="Times New Roman"/>
          <w:szCs w:val="21"/>
        </w:rPr>
        <w:t>若甲方未及时办理相关变更手续，由此导致的后果由甲方自行承担，乙方对此不承担责任。</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甲方已经认真阅读销售文件，清楚知晓其具体内容，对有关条款不存在疑问或异议，并能充分理解所购买产品的风险，明白在发生最不利情况下（可能但并不一定发生），甲方可能无法取得产品投资收益，并可能面临损失本金的风险。甲方独立作出投资决定，并亲自对销售文件进行签署确认，自主承担投资风险。</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4.甲方已在乙方营业网点</w:t>
      </w:r>
      <w:r>
        <w:rPr>
          <w:rFonts w:ascii="Times New Roman" w:hAnsi="Times New Roman"/>
          <w:b/>
          <w:bCs/>
          <w:szCs w:val="21"/>
        </w:rPr>
        <w:t>或电子渠道（包括</w:t>
      </w:r>
      <w:r>
        <w:rPr>
          <w:rFonts w:ascii="Times New Roman" w:hAnsi="Times New Roman"/>
          <w:szCs w:val="21"/>
        </w:rPr>
        <w:t>网上银行、手机银行</w:t>
      </w:r>
      <w:r>
        <w:rPr>
          <w:rFonts w:hint="eastAsia" w:ascii="Times New Roman" w:hAnsi="Times New Roman"/>
          <w:szCs w:val="21"/>
          <w:lang w:val="en-US" w:eastAsia="zh-CN"/>
        </w:rPr>
        <w:t>、</w:t>
      </w:r>
      <w:r>
        <w:rPr>
          <w:rFonts w:ascii="Times New Roman" w:hAnsi="Times New Roman"/>
          <w:szCs w:val="21"/>
        </w:rPr>
        <w:t>智能终端等</w:t>
      </w:r>
      <w:r>
        <w:rPr>
          <w:rFonts w:hint="eastAsia" w:ascii="Times New Roman" w:hAnsi="Times New Roman"/>
          <w:szCs w:val="21"/>
          <w:lang w:eastAsia="zh-CN"/>
        </w:rPr>
        <w:t>）</w:t>
      </w:r>
      <w:r>
        <w:rPr>
          <w:rFonts w:ascii="Times New Roman" w:hAnsi="Times New Roman"/>
          <w:szCs w:val="21"/>
        </w:rPr>
        <w:t>完成投资风险承受能力评估，并对投资风险承受能力评估结果完全认可。</w:t>
      </w:r>
      <w:r>
        <w:rPr>
          <w:rFonts w:ascii="Times New Roman" w:hAnsi="Times New Roman"/>
          <w:b/>
          <w:bCs/>
          <w:szCs w:val="21"/>
        </w:rPr>
        <w:t>甲方承诺所购买理财产品对应的风险等级</w:t>
      </w:r>
      <w:r>
        <w:rPr>
          <w:rFonts w:hint="eastAsia" w:ascii="Times New Roman" w:hAnsi="Times New Roman"/>
          <w:b/>
          <w:bCs/>
          <w:szCs w:val="21"/>
          <w:lang w:eastAsia="zh-CN"/>
        </w:rPr>
        <w:t>与</w:t>
      </w:r>
      <w:r>
        <w:rPr>
          <w:rFonts w:ascii="Times New Roman" w:hAnsi="Times New Roman"/>
          <w:b/>
          <w:bCs/>
          <w:szCs w:val="21"/>
        </w:rPr>
        <w:t>自身风险承受能力</w:t>
      </w:r>
      <w:r>
        <w:rPr>
          <w:rFonts w:hint="eastAsia" w:ascii="Times New Roman" w:hAnsi="Times New Roman"/>
          <w:b/>
          <w:bCs/>
          <w:szCs w:val="21"/>
          <w:lang w:val="en-US" w:eastAsia="zh-CN"/>
        </w:rPr>
        <w:t>相匹配</w:t>
      </w:r>
      <w:r>
        <w:rPr>
          <w:rFonts w:ascii="Times New Roman" w:hAnsi="Times New Roman"/>
          <w:b/>
          <w:bCs/>
          <w:szCs w:val="21"/>
        </w:rPr>
        <w:t>。</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5.甲方签署本协议，即同意授权乙方自甲方理财产品指定账户冻结等额于甲方在本协议项下提交认购或申购的交易金额的资金（冻结期间乙方按甲方理财</w:t>
      </w:r>
      <w:r>
        <w:rPr>
          <w:rFonts w:hint="eastAsia" w:ascii="Times New Roman" w:hAnsi="Times New Roman"/>
          <w:b/>
          <w:bCs/>
          <w:szCs w:val="21"/>
          <w:lang w:val="en-US" w:eastAsia="zh-CN"/>
        </w:rPr>
        <w:t>产品</w:t>
      </w:r>
      <w:r>
        <w:rPr>
          <w:rFonts w:ascii="Times New Roman" w:hAnsi="Times New Roman"/>
          <w:b/>
          <w:bCs/>
          <w:szCs w:val="21"/>
        </w:rPr>
        <w:t>指定账户活期存款的利息结算规则计付利息），并于</w:t>
      </w:r>
      <w:r>
        <w:rPr>
          <w:rFonts w:hint="eastAsia" w:ascii="Times New Roman" w:hAnsi="Times New Roman"/>
          <w:b/>
          <w:bCs/>
          <w:szCs w:val="21"/>
          <w:lang w:val="en-US" w:eastAsia="zh-CN"/>
        </w:rPr>
        <w:t>交易确认前</w:t>
      </w:r>
      <w:r>
        <w:rPr>
          <w:rFonts w:ascii="Times New Roman" w:hAnsi="Times New Roman"/>
          <w:b/>
          <w:bCs/>
          <w:szCs w:val="21"/>
        </w:rPr>
        <w:t>扣划至</w:t>
      </w:r>
      <w:r>
        <w:rPr>
          <w:rFonts w:hint="eastAsia" w:ascii="Times New Roman" w:hAnsi="Times New Roman"/>
          <w:b/>
          <w:bCs/>
          <w:szCs w:val="21"/>
          <w:lang w:val="en-US" w:eastAsia="zh-CN"/>
        </w:rPr>
        <w:t>理财</w:t>
      </w:r>
      <w:r>
        <w:rPr>
          <w:rFonts w:ascii="Times New Roman" w:hAnsi="Times New Roman"/>
          <w:b/>
          <w:bCs/>
          <w:szCs w:val="21"/>
        </w:rPr>
        <w:t>产品发行</w:t>
      </w:r>
      <w:r>
        <w:rPr>
          <w:rFonts w:hint="eastAsia" w:ascii="Times New Roman" w:hAnsi="Times New Roman"/>
          <w:b/>
          <w:bCs/>
          <w:szCs w:val="21"/>
        </w:rPr>
        <w:t>与管理</w:t>
      </w:r>
      <w:r>
        <w:rPr>
          <w:rFonts w:ascii="Times New Roman" w:hAnsi="Times New Roman"/>
          <w:b/>
          <w:bCs/>
          <w:szCs w:val="21"/>
        </w:rPr>
        <w:t>机构指定账户，乙方在划款时均无须再通知甲方。</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6.在产品募集期（或开放期）内，如因甲方的原因导致投资本金不能从其</w:t>
      </w:r>
      <w:r>
        <w:rPr>
          <w:rFonts w:hint="eastAsia" w:ascii="Times New Roman" w:hAnsi="Times New Roman"/>
          <w:szCs w:val="21"/>
          <w:lang w:val="en-US" w:eastAsia="zh-CN"/>
        </w:rPr>
        <w:t>理财产品指定</w:t>
      </w:r>
      <w:r>
        <w:rPr>
          <w:rFonts w:ascii="Times New Roman" w:hAnsi="Times New Roman"/>
          <w:szCs w:val="21"/>
        </w:rPr>
        <w:t>账户足额划转的，</w:t>
      </w:r>
      <w:r>
        <w:rPr>
          <w:rFonts w:hint="eastAsia" w:ascii="Times New Roman" w:hAnsi="Times New Roman"/>
          <w:szCs w:val="21"/>
          <w:lang w:val="en-US" w:eastAsia="zh-CN"/>
        </w:rPr>
        <w:t>则</w:t>
      </w:r>
      <w:r>
        <w:rPr>
          <w:rFonts w:ascii="Times New Roman" w:hAnsi="Times New Roman"/>
          <w:szCs w:val="21"/>
        </w:rPr>
        <w:t>甲方对相关理财产品的购买不成功，该理财产品</w:t>
      </w:r>
      <w:r>
        <w:rPr>
          <w:rFonts w:hint="eastAsia" w:ascii="Times New Roman" w:hAnsi="Times New Roman"/>
          <w:szCs w:val="21"/>
          <w:lang w:val="en-US" w:eastAsia="zh-CN"/>
        </w:rPr>
        <w:t>销售文件及</w:t>
      </w:r>
      <w:r>
        <w:rPr>
          <w:rFonts w:ascii="Times New Roman" w:hAnsi="Times New Roman"/>
          <w:szCs w:val="21"/>
        </w:rPr>
        <w:t>相关协议不生效</w:t>
      </w:r>
      <w:r>
        <w:rPr>
          <w:rFonts w:hint="eastAsia" w:ascii="Times New Roman" w:hAnsi="Times New Roman"/>
          <w:szCs w:val="21"/>
          <w:lang w:val="en-US" w:eastAsia="zh-CN"/>
        </w:rPr>
        <w:t>等后果由甲方自行承担</w:t>
      </w:r>
      <w:r>
        <w:rPr>
          <w:rFonts w:ascii="Times New Roman" w:hAnsi="Times New Roman"/>
          <w:szCs w:val="21"/>
        </w:rPr>
        <w:t>，乙方对此不承担责任。</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7.对于甲方通过乙方营业网点或电子渠道（包括网上银行、手机银行</w:t>
      </w:r>
      <w:r>
        <w:rPr>
          <w:rFonts w:hint="eastAsia" w:ascii="Times New Roman" w:hAnsi="Times New Roman"/>
          <w:b/>
          <w:bCs/>
          <w:szCs w:val="21"/>
          <w:lang w:eastAsia="zh-CN"/>
        </w:rPr>
        <w:t>、智能终端</w:t>
      </w:r>
      <w:r>
        <w:rPr>
          <w:rFonts w:ascii="Times New Roman" w:hAnsi="Times New Roman"/>
          <w:b/>
          <w:bCs/>
          <w:szCs w:val="21"/>
        </w:rPr>
        <w:t>等）购买的理财产品，甲方确认理财产品销售文件均由本人签字签署或亲自在系统中点击确认，并对其真实性和有效性负责，甲方系统点击确认与纸质签署具有同等法律效力。甲方同意乙方可对其办理本合同项下理财业务的操作过程进行录音、录像或以其他合法方式进行记录，且在双方发生争议时可以作为合法有效的证据使用。</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8.甲方承诺在产品存续期内，除非</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机构按照《理财产品说明书》约定行权终止理财产品，否则</w:t>
      </w:r>
      <w:r>
        <w:rPr>
          <w:rFonts w:ascii="Times New Roman" w:hAnsi="Times New Roman"/>
          <w:b/>
          <w:bCs/>
          <w:szCs w:val="21"/>
        </w:rPr>
        <w:t>不得要求乙方在产品非开放日前退还已扣划款项或以任何形式清算其持有的理财产品份额，且不得将指定账户销户</w:t>
      </w:r>
      <w:r>
        <w:rPr>
          <w:rFonts w:ascii="Times New Roman" w:hAnsi="Times New Roman"/>
          <w:szCs w:val="21"/>
        </w:rPr>
        <w:t>。</w:t>
      </w:r>
    </w:p>
    <w:p>
      <w:pPr>
        <w:pStyle w:val="86753cc2"/>
        <w:autoSpaceDE w:val="0"/>
        <w:autoSpaceDN w:val="0"/>
        <w:adjustRightInd w:val="0"/>
        <w:snapToGrid w:val="0"/>
        <w:spacing w:line="276" w:lineRule="auto"/>
        <w:ind w:firstLine="420" w:firstLineChars="200"/>
        <w:rPr>
          <w:rFonts w:ascii="Times New Roman" w:hAnsi="Times New Roman"/>
        </w:rPr>
      </w:pPr>
      <w:r>
        <w:rPr>
          <w:rFonts w:ascii="Times New Roman" w:hAnsi="Times New Roman"/>
        </w:rPr>
        <w:t>9.甲方对本协议及其条款负有保密义务，未经乙方书面许可，甲方不得向任何组织、个人提供或泄露与乙方有关的业务资料及信息，但法律法规</w:t>
      </w:r>
      <w:r>
        <w:rPr>
          <w:rFonts w:hint="eastAsia" w:ascii="Times New Roman" w:hAnsi="Times New Roman"/>
          <w:lang w:val="en-US" w:eastAsia="zh-CN"/>
        </w:rPr>
        <w:t>或监管规定或双方书面协议</w:t>
      </w:r>
      <w:r>
        <w:rPr>
          <w:rFonts w:ascii="Times New Roman" w:hAnsi="Times New Roman"/>
        </w:rPr>
        <w:t>另有规定的除外。</w:t>
      </w:r>
    </w:p>
    <w:p>
      <w:pPr>
        <w:pStyle w:val="86753cc2"/>
        <w:autoSpaceDE w:val="0"/>
        <w:autoSpaceDN w:val="0"/>
        <w:adjustRightInd w:val="0"/>
        <w:snapToGrid w:val="0"/>
        <w:spacing w:line="276" w:lineRule="auto"/>
        <w:ind w:firstLine="420" w:firstLineChars="200"/>
        <w:rPr>
          <w:rFonts w:ascii="Times New Roman" w:hAnsi="Times New Roman"/>
        </w:rPr>
      </w:pPr>
      <w:r>
        <w:rPr>
          <w:rFonts w:ascii="Times New Roman" w:hAnsi="Times New Roman"/>
          <w:b w:val="0"/>
          <w:bCs w:val="0"/>
        </w:rPr>
        <w:t>10.甲方承诺严格遵守反洗钱相关法律法规和监管规定，不会参与或协助洗钱、恐怖融资、逃税活动等违法行为</w:t>
      </w:r>
      <w:r>
        <w:rPr>
          <w:rFonts w:ascii="Times New Roman" w:hAnsi="Times New Roman"/>
          <w:b/>
          <w:bCs/>
        </w:rPr>
        <w:t>。乙方若发现或有合理理由怀疑甲方、甲方的资金或甲方的交易行为与洗钱、恐怖融资、逃税等犯罪活动相关的，乙方有权提前终止本协议，造成甲方损失的，乙方不承担责任</w:t>
      </w:r>
      <w:r>
        <w:rPr>
          <w:rFonts w:ascii="Times New Roman" w:hAnsi="Times New Roman"/>
        </w:rPr>
        <w:t>。</w:t>
      </w:r>
    </w:p>
    <w:p>
      <w:pPr>
        <w:pStyle w:val="86753cc2"/>
        <w:tabs>
          <w:tab w:val="left" w:pos="360"/>
        </w:tabs>
        <w:autoSpaceDE w:val="0"/>
        <w:autoSpaceDN w:val="0"/>
        <w:adjustRightInd w:val="0"/>
        <w:snapToGrid w:val="0"/>
        <w:spacing w:line="276" w:lineRule="auto"/>
        <w:ind w:firstLine="420" w:firstLineChars="200"/>
        <w:rPr>
          <w:rFonts w:ascii="Times New Roman" w:hAnsi="Times New Roman"/>
          <w:b/>
          <w:bCs/>
          <w:szCs w:val="21"/>
        </w:rPr>
      </w:pPr>
      <w:r>
        <w:rPr>
          <w:rFonts w:ascii="Times New Roman" w:hAnsi="Times New Roman"/>
          <w:szCs w:val="21"/>
        </w:rPr>
        <w:t>三、根据相关法律、法规规定及监管部门要求，乙方在向甲方销售理财产品时，会对产品销售过程以及销售记录进行客观审慎的记录。其中，</w:t>
      </w:r>
      <w:r>
        <w:rPr>
          <w:rFonts w:ascii="Times New Roman" w:hAnsi="Times New Roman"/>
          <w:b/>
          <w:bCs/>
          <w:szCs w:val="21"/>
        </w:rPr>
        <w:t>甲方授权乙方对营业网点销售行为进行录音、录像采集，并完整客观记录电子渠道上营销推介、产品风险和关键信息提示、确认和反馈等重点销售环节，以用于回溯检查和核查取证用途。</w:t>
      </w:r>
    </w:p>
    <w:p>
      <w:pPr>
        <w:pStyle w:val="86753cc2"/>
        <w:tabs>
          <w:tab w:val="left" w:pos="360"/>
        </w:tabs>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四、乙方对理财产品销售过程中获知的投资者金融信息承担保密义务，未经甲方书面许可，乙方不得向任何组织、个人提供或泄露与甲方有关的业务资料及信息，但法律法规或监管规定</w:t>
      </w:r>
      <w:r>
        <w:rPr>
          <w:rFonts w:hint="eastAsia" w:ascii="Times New Roman" w:hAnsi="Times New Roman"/>
          <w:szCs w:val="21"/>
          <w:lang w:val="en-US" w:eastAsia="zh-CN"/>
        </w:rPr>
        <w:t>或双方书面协议</w:t>
      </w:r>
      <w:r>
        <w:rPr>
          <w:rFonts w:ascii="Times New Roman" w:hAnsi="Times New Roman"/>
          <w:szCs w:val="21"/>
        </w:rPr>
        <w:t>另有</w:t>
      </w:r>
      <w:r>
        <w:rPr>
          <w:rFonts w:hint="eastAsia" w:ascii="Times New Roman" w:hAnsi="Times New Roman"/>
          <w:szCs w:val="21"/>
          <w:lang w:val="en-US" w:eastAsia="zh-CN"/>
        </w:rPr>
        <w:t>规定</w:t>
      </w:r>
      <w:r>
        <w:rPr>
          <w:rFonts w:ascii="Times New Roman" w:hAnsi="Times New Roman"/>
          <w:szCs w:val="21"/>
        </w:rPr>
        <w:t>的除外。</w:t>
      </w:r>
    </w:p>
    <w:p>
      <w:pPr>
        <w:pStyle w:val="86753cc2"/>
        <w:tabs>
          <w:tab w:val="left" w:pos="360"/>
        </w:tabs>
        <w:autoSpaceDE w:val="0"/>
        <w:autoSpaceDN w:val="0"/>
        <w:adjustRightInd w:val="0"/>
        <w:snapToGrid w:val="0"/>
        <w:spacing w:line="276" w:lineRule="auto"/>
        <w:ind w:firstLine="420" w:firstLineChars="200"/>
        <w:rPr>
          <w:rFonts w:hint="eastAsia" w:ascii="Times New Roman" w:hAnsi="Times New Roman"/>
          <w:szCs w:val="21"/>
        </w:rPr>
      </w:pPr>
      <w:r>
        <w:rPr>
          <w:rFonts w:ascii="Times New Roman" w:hAnsi="Times New Roman"/>
          <w:szCs w:val="21"/>
        </w:rPr>
        <w:t>五、</w:t>
      </w:r>
      <w:r>
        <w:rPr>
          <w:rFonts w:hint="eastAsia" w:ascii="Times New Roman" w:hAnsi="Times New Roman"/>
          <w:szCs w:val="21"/>
        </w:rPr>
        <w:t>乙方有权按照反洗钱、反恐怖融资、非居民金融账户涉税信息尽职调查及理财产品登记等相关法律法规和监管要求，收集甲方身份信息、持有理财产品信息、理财账户信息、交易明细信息等相关信息，并按规定向监管机构、理财产品登记机构等有权机关进行登记报送。</w:t>
      </w:r>
    </w:p>
    <w:p>
      <w:pPr>
        <w:pStyle w:val="86753cc2"/>
        <w:widowControl/>
        <w:shd w:val="clear" w:color="auto" w:fill="FFFFFF"/>
        <w:autoSpaceDE/>
        <w:autoSpaceDN/>
        <w:adjustRightInd/>
        <w:snapToGrid/>
        <w:spacing w:line="240" w:lineRule="auto"/>
        <w:ind w:firstLine="420" w:firstLineChars="200"/>
        <w:jc w:val="left"/>
        <w:rPr>
          <w:rFonts w:hint="eastAsia" w:ascii="Times New Roman" w:hAnsi="Times New Roman"/>
          <w:szCs w:val="21"/>
        </w:rPr>
      </w:pPr>
      <w:r>
        <w:rPr>
          <w:rFonts w:hint="eastAsia" w:ascii="Times New Roman" w:hAnsi="Times New Roman"/>
          <w:szCs w:val="21"/>
          <w:lang w:val="en-US" w:eastAsia="zh-CN"/>
        </w:rPr>
        <w:t>乙方</w:t>
      </w:r>
      <w:r>
        <w:rPr>
          <w:rFonts w:hint="eastAsia" w:ascii="Times New Roman" w:hAnsi="Times New Roman"/>
          <w:szCs w:val="21"/>
        </w:rPr>
        <w:t>将会按照</w:t>
      </w:r>
      <w:r>
        <w:rPr>
          <w:rFonts w:hint="eastAsia" w:ascii="Times New Roman" w:hAnsi="Times New Roman" w:eastAsia="宋体" w:cs="Times New Roman"/>
          <w:b/>
          <w:bCs/>
          <w:szCs w:val="21"/>
          <w:lang w:val="en-US" w:eastAsia="zh-CN"/>
        </w:rPr>
        <w:t>《</w:t>
      </w:r>
      <w:r>
        <w:rPr>
          <w:rFonts w:hint="eastAsia" w:ascii="Times New Roman" w:hAnsi="Times New Roman" w:eastAsia="宋体" w:cs="Times New Roman"/>
          <w:b/>
          <w:bCs/>
          <w:kern w:val="2"/>
          <w:sz w:val="21"/>
          <w:szCs w:val="21"/>
          <w:lang w:val="en-US" w:eastAsia="zh-CN"/>
        </w:rPr>
        <w:t>厦门银行代销理财业务个人</w:t>
      </w:r>
      <w:r>
        <w:rPr>
          <w:rFonts w:hint="eastAsia" w:ascii="Times New Roman" w:hAnsi="Times New Roman" w:eastAsia="宋体" w:cs="Times New Roman"/>
          <w:b/>
          <w:bCs/>
          <w:kern w:val="2"/>
          <w:sz w:val="21"/>
          <w:szCs w:val="21"/>
        </w:rPr>
        <w:t>信息</w:t>
      </w:r>
      <w:r>
        <w:rPr>
          <w:rFonts w:hint="eastAsia" w:ascii="Times New Roman" w:hAnsi="Times New Roman" w:eastAsia="宋体" w:cs="Times New Roman"/>
          <w:b/>
          <w:bCs/>
          <w:kern w:val="2"/>
          <w:sz w:val="21"/>
          <w:szCs w:val="21"/>
          <w:lang w:val="en-US" w:eastAsia="zh-CN"/>
        </w:rPr>
        <w:t>处理</w:t>
      </w:r>
      <w:r>
        <w:rPr>
          <w:rFonts w:hint="eastAsia" w:ascii="Times New Roman" w:hAnsi="Times New Roman" w:eastAsia="宋体" w:cs="Times New Roman"/>
          <w:b/>
          <w:bCs/>
          <w:kern w:val="2"/>
          <w:sz w:val="21"/>
          <w:szCs w:val="21"/>
        </w:rPr>
        <w:t>授权书</w:t>
      </w:r>
      <w:r>
        <w:rPr>
          <w:rFonts w:hint="eastAsia" w:ascii="Times New Roman" w:hAnsi="Times New Roman" w:eastAsia="宋体" w:cs="Times New Roman"/>
          <w:b/>
          <w:bCs/>
          <w:kern w:val="2"/>
          <w:sz w:val="21"/>
          <w:szCs w:val="21"/>
          <w:lang w:eastAsia="zh-CN"/>
        </w:rPr>
        <w:t>》</w:t>
      </w:r>
      <w:r>
        <w:rPr>
          <w:rFonts w:hint="eastAsia" w:ascii="Times New Roman" w:hAnsi="Times New Roman" w:cs="Times New Roman"/>
          <w:b/>
          <w:bCs/>
          <w:kern w:val="2"/>
          <w:sz w:val="21"/>
          <w:szCs w:val="21"/>
          <w:lang w:val="en-US" w:eastAsia="zh-CN"/>
        </w:rPr>
        <w:t>中</w:t>
      </w:r>
      <w:r>
        <w:rPr>
          <w:rFonts w:hint="eastAsia" w:ascii="Times New Roman" w:hAnsi="Times New Roman"/>
          <w:szCs w:val="21"/>
          <w:lang w:val="en-US" w:eastAsia="zh-CN"/>
        </w:rPr>
        <w:t>甲方</w:t>
      </w:r>
      <w:r>
        <w:rPr>
          <w:rFonts w:hint="eastAsia" w:ascii="Times New Roman" w:hAnsi="Times New Roman"/>
          <w:szCs w:val="21"/>
        </w:rPr>
        <w:t>的授权及</w:t>
      </w:r>
      <w:r>
        <w:rPr>
          <w:rFonts w:hint="eastAsia" w:ascii="Times New Roman" w:hAnsi="Times New Roman"/>
          <w:szCs w:val="21"/>
          <w:lang w:eastAsia="zh-CN"/>
        </w:rPr>
        <w:t>《中华人民共和国个人信息保护法》</w:t>
      </w:r>
      <w:r>
        <w:rPr>
          <w:rFonts w:hint="eastAsia" w:ascii="Times New Roman" w:hAnsi="Times New Roman"/>
          <w:szCs w:val="21"/>
        </w:rPr>
        <w:t>等法律法规及监管规定的期限保存</w:t>
      </w:r>
      <w:r>
        <w:rPr>
          <w:rFonts w:hint="eastAsia" w:ascii="Times New Roman" w:hAnsi="Times New Roman"/>
          <w:szCs w:val="21"/>
          <w:lang w:val="en-US" w:eastAsia="zh-CN"/>
        </w:rPr>
        <w:t>甲方</w:t>
      </w:r>
      <w:r>
        <w:rPr>
          <w:rFonts w:hint="eastAsia" w:ascii="Times New Roman" w:hAnsi="Times New Roman"/>
          <w:szCs w:val="21"/>
        </w:rPr>
        <w:t>的相关个人信息，在符合法律、行政法规及相关监管要求的情况下，个人信息的保存期限为实现处理目的所必要的最短时间。待保存期限届满后，</w:t>
      </w:r>
      <w:r>
        <w:rPr>
          <w:rFonts w:hint="eastAsia" w:ascii="Times New Roman" w:hAnsi="Times New Roman"/>
          <w:szCs w:val="21"/>
          <w:lang w:val="en-US" w:eastAsia="zh-CN"/>
        </w:rPr>
        <w:t>乙方</w:t>
      </w:r>
      <w:r>
        <w:rPr>
          <w:rFonts w:hint="eastAsia" w:ascii="Times New Roman" w:hAnsi="Times New Roman"/>
          <w:szCs w:val="21"/>
        </w:rPr>
        <w:t>将采取技术手段从终端设备、信息系统内去除</w:t>
      </w:r>
      <w:r>
        <w:rPr>
          <w:rFonts w:hint="eastAsia" w:ascii="Times New Roman" w:hAnsi="Times New Roman"/>
          <w:szCs w:val="21"/>
          <w:lang w:val="en-US" w:eastAsia="zh-CN"/>
        </w:rPr>
        <w:t>甲方</w:t>
      </w:r>
      <w:r>
        <w:rPr>
          <w:rFonts w:hint="eastAsia" w:ascii="Times New Roman" w:hAnsi="Times New Roman"/>
          <w:szCs w:val="21"/>
        </w:rPr>
        <w:t>个人信息或进行匿名化处理，使其不可被检索、访问，或按照</w:t>
      </w:r>
      <w:r>
        <w:rPr>
          <w:rFonts w:hint="eastAsia" w:ascii="Times New Roman" w:hAnsi="Times New Roman"/>
          <w:szCs w:val="21"/>
          <w:lang w:val="en-US" w:eastAsia="zh-CN"/>
        </w:rPr>
        <w:t>乙方</w:t>
      </w:r>
      <w:r>
        <w:rPr>
          <w:rFonts w:hint="eastAsia" w:ascii="Times New Roman" w:hAnsi="Times New Roman"/>
          <w:szCs w:val="21"/>
        </w:rPr>
        <w:t>内部管理规定删除前述信息。当删除从技术上难以实现时，</w:t>
      </w:r>
      <w:r>
        <w:rPr>
          <w:rFonts w:hint="eastAsia" w:ascii="Times New Roman" w:hAnsi="Times New Roman"/>
          <w:szCs w:val="21"/>
          <w:lang w:val="en-US" w:eastAsia="zh-CN"/>
        </w:rPr>
        <w:t>乙方</w:t>
      </w:r>
      <w:r>
        <w:rPr>
          <w:rFonts w:hint="eastAsia" w:ascii="Times New Roman" w:hAnsi="Times New Roman"/>
          <w:szCs w:val="21"/>
        </w:rPr>
        <w:t>将会对前述信息停止除储存和采取必要的安全保护措施之外的处理。</w:t>
      </w:r>
    </w:p>
    <w:p>
      <w:pPr>
        <w:pStyle w:val="86753cc2"/>
        <w:tabs>
          <w:tab w:val="left" w:pos="360"/>
        </w:tabs>
        <w:autoSpaceDE w:val="0"/>
        <w:autoSpaceDN w:val="0"/>
        <w:adjustRightInd w:val="0"/>
        <w:snapToGrid w:val="0"/>
        <w:spacing w:line="276" w:lineRule="auto"/>
        <w:ind w:firstLine="420" w:firstLineChars="200"/>
        <w:rPr>
          <w:rFonts w:hint="eastAsia" w:ascii="Times New Roman" w:hAnsi="Times New Roman"/>
          <w:b/>
          <w:bCs/>
          <w:szCs w:val="21"/>
        </w:rPr>
      </w:pPr>
      <w:r>
        <w:rPr>
          <w:rFonts w:hint="eastAsia" w:ascii="Times New Roman" w:hAnsi="Times New Roman"/>
          <w:szCs w:val="21"/>
        </w:rPr>
        <w:t>乙方对理财产品销售过程中获知的甲方信息承担保密义务，非经甲方事先许可，不得向上述授权范围之外的第三方透露，但法律法规或监管规定另有要求的除外。</w:t>
      </w:r>
      <w:r>
        <w:rPr>
          <w:rFonts w:hint="eastAsia" w:ascii="Times New Roman" w:hAnsi="Times New Roman"/>
          <w:b/>
          <w:bCs/>
          <w:szCs w:val="21"/>
        </w:rPr>
        <w:t>甲方充分理解并同意上述授权安排，并知悉该同意的结果系为满足法律法规、监管规定或处理本协议项下事务之目的。</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六、本协议与理财产品对应的《理财产品投资协议书》、《理财产品说明书》、《风险揭示书》和《投资者权益须知》构成完整的不可分割的理财产品销售文件，具有同等法律效力。</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七、甲方购买</w:t>
      </w:r>
      <w:r>
        <w:rPr>
          <w:rFonts w:ascii="Times New Roman" w:hAnsi="Times New Roman"/>
          <w:spacing w:val="-6"/>
          <w:szCs w:val="21"/>
        </w:rPr>
        <w:t>的理财产品</w:t>
      </w:r>
      <w:r>
        <w:rPr>
          <w:rFonts w:hint="eastAsia" w:ascii="Times New Roman" w:hAnsi="Times New Roman"/>
          <w:szCs w:val="21"/>
        </w:rPr>
        <w:t>通过乙方</w:t>
      </w:r>
      <w:r>
        <w:rPr>
          <w:rFonts w:ascii="Times New Roman" w:hAnsi="Times New Roman"/>
          <w:spacing w:val="-6"/>
          <w:szCs w:val="21"/>
        </w:rPr>
        <w:t>代理销售</w:t>
      </w:r>
      <w:r>
        <w:rPr>
          <w:rFonts w:hint="eastAsia" w:ascii="Times New Roman" w:hAnsi="Times New Roman"/>
          <w:spacing w:val="-6"/>
          <w:szCs w:val="21"/>
        </w:rPr>
        <w:t>的，</w:t>
      </w:r>
      <w:r>
        <w:rPr>
          <w:rFonts w:hint="eastAsia"/>
          <w:b/>
          <w:bCs/>
        </w:rPr>
        <w:t>若乙方与产品管理人对本产品风险评级结果不一致的，乙方应当采用对应较高风险等级的评级结果并予以披露，且</w:t>
      </w:r>
      <w:r>
        <w:rPr>
          <w:rFonts w:hint="eastAsia" w:ascii="Times New Roman" w:hAnsi="Times New Roman"/>
          <w:b/>
          <w:bCs/>
          <w:spacing w:val="-6"/>
          <w:szCs w:val="21"/>
        </w:rPr>
        <w:t>理财产品评级应当以乙方最终披露的评级结果为准</w:t>
      </w:r>
      <w:r>
        <w:rPr>
          <w:rFonts w:hint="eastAsia" w:ascii="Times New Roman" w:hAnsi="Times New Roman"/>
          <w:spacing w:val="-6"/>
          <w:szCs w:val="21"/>
        </w:rPr>
        <w:t>。</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八</w:t>
      </w:r>
      <w:r>
        <w:rPr>
          <w:rFonts w:ascii="Times New Roman" w:hAnsi="Times New Roman"/>
          <w:b/>
          <w:bCs/>
          <w:szCs w:val="21"/>
        </w:rPr>
        <w:t>、免责条款</w:t>
      </w:r>
    </w:p>
    <w:p>
      <w:pPr>
        <w:pStyle w:val="86753cc2"/>
        <w:autoSpaceDE w:val="0"/>
        <w:autoSpaceDN w:val="0"/>
        <w:adjustRightInd w:val="0"/>
        <w:snapToGrid w:val="0"/>
        <w:spacing w:line="276" w:lineRule="auto"/>
        <w:ind w:firstLine="422" w:firstLineChars="200"/>
        <w:rPr>
          <w:rFonts w:ascii="宋体"/>
          <w:b/>
          <w:bCs/>
          <w:szCs w:val="21"/>
        </w:rPr>
      </w:pPr>
      <w:r>
        <w:rPr>
          <w:rFonts w:hint="eastAsia" w:ascii="宋体" w:hAnsi="宋体"/>
          <w:b/>
          <w:bCs/>
          <w:szCs w:val="21"/>
        </w:rPr>
        <w:t>（一）非乙方原因（包括但不限于甲方未按时足额缴纳本金、甲方遗失本协议、甲方协议被盗用、本协议交易账户被司法机关等有权部门冻结、扣划等原因）造成的损失，乙方不承担责任。</w:t>
      </w:r>
    </w:p>
    <w:p>
      <w:pPr>
        <w:pStyle w:val="86753cc2"/>
        <w:autoSpaceDE w:val="0"/>
        <w:autoSpaceDN w:val="0"/>
        <w:adjustRightInd w:val="0"/>
        <w:snapToGrid w:val="0"/>
        <w:spacing w:line="276" w:lineRule="auto"/>
        <w:ind w:firstLine="422" w:firstLineChars="200"/>
        <w:rPr>
          <w:rFonts w:hint="eastAsia" w:ascii="宋体"/>
          <w:b/>
          <w:szCs w:val="21"/>
        </w:rPr>
      </w:pPr>
      <w:r>
        <w:rPr>
          <w:rFonts w:hint="eastAsia" w:ascii="宋体" w:hAnsi="宋体"/>
          <w:b/>
          <w:szCs w:val="21"/>
        </w:rPr>
        <w:t>（二）</w:t>
      </w:r>
      <w:r>
        <w:rPr>
          <w:rFonts w:hint="eastAsia"/>
          <w:b/>
          <w:szCs w:val="21"/>
        </w:rPr>
        <w:t>由于不可抗力事件或意外事件的出现，或</w:t>
      </w:r>
      <w:r>
        <w:rPr>
          <w:rFonts w:hint="eastAsia" w:ascii="宋体" w:hAnsi="宋体"/>
          <w:b/>
          <w:szCs w:val="21"/>
        </w:rPr>
        <w:t>乙方无过错且无法防止的外因，而导致的交易中断、延误等风险及损失，乙方不承担责任。不可抗力事件包括但不限于：法律法规及监管政策变化、紧急措施的出台，火灾、地震、洪水等</w:t>
      </w:r>
      <w:r>
        <w:rPr>
          <w:rFonts w:hint="eastAsia"/>
          <w:b/>
          <w:szCs w:val="21"/>
        </w:rPr>
        <w:t>自然灾害，战争、军事行动、罢工、流行病等不能预见、不能避免、不能克服的事件等，意外事件包括但不限于：系统故障、通讯故障、电力系统故障、金融危机、投资市场或投资品无法正常交易等。</w:t>
      </w:r>
    </w:p>
    <w:p>
      <w:pPr>
        <w:pStyle w:val="86753cc2"/>
        <w:autoSpaceDE w:val="0"/>
        <w:autoSpaceDN w:val="0"/>
        <w:adjustRightInd w:val="0"/>
        <w:snapToGrid w:val="0"/>
        <w:spacing w:line="276" w:lineRule="auto"/>
        <w:ind w:firstLine="422" w:firstLineChars="200"/>
        <w:rPr>
          <w:rFonts w:hint="eastAsia" w:ascii="宋体" w:hAnsi="宋体"/>
          <w:b/>
          <w:szCs w:val="21"/>
        </w:rPr>
      </w:pPr>
      <w:r>
        <w:rPr>
          <w:rFonts w:hint="eastAsia" w:ascii="宋体" w:hAnsi="宋体"/>
          <w:b/>
          <w:szCs w:val="21"/>
        </w:rPr>
        <w:t>发生前述情形时，乙方将在条件允许的情况下采取必要合理的补救措施，尽力保护甲方利益，以减少甲方损失。</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九</w:t>
      </w:r>
      <w:r>
        <w:rPr>
          <w:rFonts w:ascii="Times New Roman" w:hAnsi="Times New Roman"/>
          <w:b/>
          <w:bCs/>
          <w:szCs w:val="21"/>
        </w:rPr>
        <w:t>、协议的生效和终止</w:t>
      </w:r>
    </w:p>
    <w:p>
      <w:pPr>
        <w:pStyle w:val="86753cc2"/>
        <w:autoSpaceDE w:val="0"/>
        <w:autoSpaceDN w:val="0"/>
        <w:adjustRightInd w:val="0"/>
        <w:snapToGrid w:val="0"/>
        <w:spacing w:line="276" w:lineRule="auto"/>
        <w:ind w:firstLine="422" w:firstLineChars="200"/>
        <w:rPr>
          <w:rFonts w:ascii="Times New Roman" w:hAnsi="Times New Roman"/>
          <w:szCs w:val="21"/>
        </w:rPr>
      </w:pPr>
      <w:r>
        <w:rPr>
          <w:rFonts w:ascii="Times New Roman" w:hAnsi="Times New Roman"/>
          <w:b/>
          <w:bCs/>
          <w:szCs w:val="21"/>
        </w:rPr>
        <w:t>1.甲方通过乙方营业网点购买</w:t>
      </w:r>
      <w:r>
        <w:rPr>
          <w:rFonts w:hint="eastAsia" w:ascii="Times New Roman" w:hAnsi="Times New Roman"/>
          <w:b/>
          <w:bCs/>
          <w:szCs w:val="21"/>
          <w:lang w:val="en-US" w:eastAsia="zh-CN"/>
        </w:rPr>
        <w:t>理财</w:t>
      </w:r>
      <w:r>
        <w:rPr>
          <w:rFonts w:ascii="Times New Roman" w:hAnsi="Times New Roman"/>
          <w:b/>
          <w:bCs/>
          <w:szCs w:val="21"/>
        </w:rPr>
        <w:t>产品的，本协议经甲方签署</w:t>
      </w:r>
      <w:r>
        <w:rPr>
          <w:rFonts w:ascii="Times New Roman" w:hAnsi="Times New Roman"/>
          <w:b/>
          <w:bCs/>
          <w:szCs w:val="21"/>
          <w:highlight w:val="none"/>
        </w:rPr>
        <w:t>后生效。</w:t>
      </w:r>
      <w:r>
        <w:rPr>
          <w:rFonts w:ascii="Times New Roman" w:hAnsi="Times New Roman"/>
          <w:b/>
          <w:bCs/>
          <w:szCs w:val="21"/>
        </w:rPr>
        <w:t>甲方通过乙方的网上银行、手机银行、智能</w:t>
      </w:r>
      <w:r>
        <w:rPr>
          <w:rFonts w:hint="eastAsia" w:ascii="Times New Roman" w:hAnsi="Times New Roman"/>
          <w:b/>
          <w:bCs/>
          <w:szCs w:val="21"/>
          <w:lang w:eastAsia="zh-CN"/>
        </w:rPr>
        <w:t>终端</w:t>
      </w:r>
      <w:r>
        <w:rPr>
          <w:rFonts w:ascii="Times New Roman" w:hAnsi="Times New Roman"/>
          <w:b/>
          <w:bCs/>
          <w:szCs w:val="21"/>
        </w:rPr>
        <w:t>等电子渠道方式购买理财产品的，甲方通过点击同意本协议后生效</w:t>
      </w:r>
      <w:r>
        <w:rPr>
          <w:rFonts w:hint="eastAsia" w:ascii="Times New Roman" w:hAnsi="Times New Roman"/>
          <w:b/>
          <w:bCs/>
          <w:szCs w:val="21"/>
        </w:rPr>
        <w:t>，</w:t>
      </w:r>
      <w:r>
        <w:rPr>
          <w:rFonts w:hint="eastAsia" w:ascii="宋体" w:hAnsi="宋体"/>
          <w:b/>
          <w:bCs/>
          <w:szCs w:val="21"/>
        </w:rPr>
        <w:t>双方认可电子数据的有效性</w:t>
      </w:r>
      <w:r>
        <w:rPr>
          <w:rFonts w:ascii="Times New Roman" w:hAnsi="Times New Roman"/>
          <w:b/>
          <w:bCs/>
          <w:szCs w:val="21"/>
        </w:rPr>
        <w:t>。</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2</w:t>
      </w:r>
      <w:r>
        <w:rPr>
          <w:rFonts w:hint="eastAsia" w:ascii="Times New Roman" w:hAnsi="Times New Roman"/>
          <w:b/>
          <w:bCs/>
          <w:szCs w:val="21"/>
        </w:rPr>
        <w:t>.</w:t>
      </w:r>
      <w:r>
        <w:rPr>
          <w:rFonts w:ascii="Times New Roman" w:hAnsi="Times New Roman"/>
          <w:b/>
          <w:bCs/>
          <w:szCs w:val="21"/>
        </w:rPr>
        <w:t>甲方购买理财产品失败，或理财产品到期/提前终止、甲方赎回/提前赎回并完成清算分配后，本协议自动终止。</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hint="eastAsia" w:ascii="宋体"/>
          <w:szCs w:val="21"/>
        </w:rPr>
        <w:t>3.甲方通过乙方提交的有效理财产品认购/申购/赎回/撤单等申请，并不意味着理财产品认购/申购/赎回/撤单等申请一定成功，具体认购/申购/赎回/撤单等申请的受理结果以</w:t>
      </w:r>
      <w:r>
        <w:rPr>
          <w:rFonts w:hint="eastAsia" w:ascii="宋体"/>
          <w:szCs w:val="21"/>
          <w:lang w:val="en-US" w:eastAsia="zh-CN"/>
        </w:rPr>
        <w:t>理财</w:t>
      </w:r>
      <w:r>
        <w:rPr>
          <w:rFonts w:hint="eastAsia" w:ascii="宋体"/>
          <w:szCs w:val="21"/>
        </w:rPr>
        <w:t>产</w:t>
      </w:r>
      <w:r>
        <w:rPr>
          <w:rFonts w:ascii="Times New Roman" w:hAnsi="Times New Roman"/>
          <w:spacing w:val="-6"/>
          <w:szCs w:val="21"/>
        </w:rPr>
        <w:t>品发行</w:t>
      </w:r>
      <w:r>
        <w:rPr>
          <w:rFonts w:hint="eastAsia" w:ascii="Times New Roman" w:hAnsi="Times New Roman"/>
          <w:spacing w:val="-6"/>
          <w:szCs w:val="21"/>
        </w:rPr>
        <w:t>与管理</w:t>
      </w:r>
      <w:r>
        <w:rPr>
          <w:rFonts w:ascii="Times New Roman" w:hAnsi="Times New Roman"/>
          <w:spacing w:val="-6"/>
          <w:szCs w:val="21"/>
        </w:rPr>
        <w:t>机构</w:t>
      </w:r>
      <w:r>
        <w:rPr>
          <w:rFonts w:hint="eastAsia" w:ascii="宋体"/>
          <w:szCs w:val="21"/>
        </w:rPr>
        <w:t>的确认为准。</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hint="eastAsia" w:ascii="Times New Roman" w:hAnsi="Times New Roman"/>
          <w:b/>
          <w:bCs/>
          <w:szCs w:val="21"/>
        </w:rPr>
        <w:t>4.</w:t>
      </w:r>
      <w:r>
        <w:rPr>
          <w:rFonts w:ascii="Times New Roman" w:hAnsi="Times New Roman"/>
          <w:b/>
          <w:bCs/>
          <w:szCs w:val="21"/>
        </w:rPr>
        <w:t>本协议及《理财产品说明书》项下各方权利义务履行完毕之日，本协议自动终止。</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rPr>
        <w:t>5.</w:t>
      </w:r>
      <w:r>
        <w:rPr>
          <w:rFonts w:ascii="Times New Roman" w:hAnsi="Times New Roman"/>
          <w:szCs w:val="21"/>
        </w:rPr>
        <w:t>本协议一式贰份，甲乙双方各执壹份，具有同等法律效力。</w:t>
      </w:r>
    </w:p>
    <w:p>
      <w:pPr>
        <w:pStyle w:val="86753cc2"/>
        <w:spacing w:line="276" w:lineRule="auto"/>
        <w:ind w:right="840" w:firstLine="422" w:firstLineChars="200"/>
        <w:rPr>
          <w:rFonts w:ascii="Times New Roman" w:hAnsi="Times New Roman"/>
          <w:b/>
          <w:bCs/>
          <w:szCs w:val="21"/>
        </w:rPr>
      </w:pPr>
      <w:r>
        <w:rPr>
          <w:rFonts w:hint="eastAsia" w:ascii="Times New Roman" w:hAnsi="Times New Roman"/>
          <w:b/>
          <w:bCs/>
          <w:szCs w:val="21"/>
        </w:rPr>
        <w:t>十</w:t>
      </w:r>
      <w:r>
        <w:rPr>
          <w:rFonts w:ascii="Times New Roman" w:hAnsi="Times New Roman"/>
          <w:b/>
          <w:bCs/>
          <w:szCs w:val="21"/>
        </w:rPr>
        <w:t>、法律适用与争论解决</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1.如果甲方与乙方就本产品存在多份代理销售协议，则每份协议之间相互独立、互不影响，每份协议的效力及履行情况均独立于其他协议。</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2.如果由于任何原因使本协议下的部分条款无效，本协议其他条款效力不受影响。</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3.本协议适用中华人民共和国大陆地区法律。本协议项下及与之有关的一切争议，双方应先协商解决，协商不成的，应向</w:t>
      </w:r>
      <w:r>
        <w:rPr>
          <w:rFonts w:hint="eastAsia" w:ascii="Times New Roman" w:hAnsi="Times New Roman"/>
          <w:b/>
          <w:bCs/>
          <w:szCs w:val="21"/>
          <w:lang w:val="en-US" w:eastAsia="zh-CN"/>
        </w:rPr>
        <w:t>被告方</w:t>
      </w:r>
      <w:r>
        <w:rPr>
          <w:rFonts w:ascii="Times New Roman" w:hAnsi="Times New Roman"/>
          <w:b/>
          <w:bCs/>
          <w:szCs w:val="21"/>
        </w:rPr>
        <w:t>住所地有管辖权的人民法院提起诉讼。</w:t>
      </w:r>
    </w:p>
    <w:p>
      <w:pPr>
        <w:pStyle w:val="86753cc2"/>
        <w:autoSpaceDE w:val="0"/>
        <w:autoSpaceDN w:val="0"/>
        <w:adjustRightInd w:val="0"/>
        <w:snapToGrid w:val="0"/>
        <w:spacing w:line="276" w:lineRule="auto"/>
        <w:ind w:firstLine="422" w:firstLineChars="200"/>
        <w:rPr>
          <w:rFonts w:ascii="Times New Roman" w:hAnsi="Times New Roman"/>
          <w:b/>
          <w:bCs/>
          <w:szCs w:val="21"/>
        </w:rPr>
      </w:pPr>
      <w:r>
        <w:rPr>
          <w:rFonts w:ascii="Times New Roman" w:hAnsi="Times New Roman"/>
          <w:b/>
          <w:bCs/>
          <w:szCs w:val="21"/>
        </w:rPr>
        <w:t>十</w:t>
      </w:r>
      <w:r>
        <w:rPr>
          <w:rFonts w:hint="eastAsia" w:ascii="Times New Roman" w:hAnsi="Times New Roman"/>
          <w:b/>
          <w:bCs/>
          <w:szCs w:val="21"/>
        </w:rPr>
        <w:t>一</w:t>
      </w:r>
      <w:r>
        <w:rPr>
          <w:rFonts w:ascii="Times New Roman" w:hAnsi="Times New Roman"/>
          <w:b/>
          <w:bCs/>
          <w:szCs w:val="21"/>
        </w:rPr>
        <w:t>、咨询、投诉与建议</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一</w:t>
      </w:r>
      <w:r>
        <w:rPr>
          <w:rFonts w:hint="eastAsia" w:ascii="Times New Roman" w:hAnsi="Times New Roman"/>
          <w:szCs w:val="21"/>
          <w:lang w:eastAsia="zh-CN"/>
        </w:rPr>
        <w:t>）</w:t>
      </w:r>
      <w:r>
        <w:rPr>
          <w:rFonts w:ascii="Times New Roman" w:hAnsi="Times New Roman"/>
          <w:szCs w:val="21"/>
        </w:rPr>
        <w:t>甲方对乙方理财产品销售方面有任何疑问、投诉或意见建议，可通过以下途径反映：</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ascii="Times New Roman" w:hAnsi="Times New Roman"/>
          <w:szCs w:val="21"/>
        </w:rPr>
        <w:t>1.乙方销售理财产品的营业网点工作人员</w:t>
      </w:r>
    </w:p>
    <w:p>
      <w:pPr>
        <w:pStyle w:val="86753cc2"/>
        <w:autoSpaceDE w:val="0"/>
        <w:autoSpaceDN w:val="0"/>
        <w:adjustRightInd w:val="0"/>
        <w:snapToGrid w:val="0"/>
        <w:spacing w:line="276" w:lineRule="auto"/>
        <w:ind w:firstLine="420" w:firstLineChars="200"/>
        <w:rPr>
          <w:rFonts w:hint="default" w:ascii="Times New Roman" w:hAnsi="Times New Roman" w:eastAsia="宋体"/>
          <w:szCs w:val="21"/>
          <w:lang w:val="en-US" w:eastAsia="zh-CN"/>
        </w:rPr>
      </w:pPr>
      <w:r>
        <w:rPr>
          <w:rFonts w:ascii="Times New Roman" w:hAnsi="Times New Roman"/>
          <w:szCs w:val="21"/>
        </w:rPr>
        <w:t>2.</w:t>
      </w:r>
      <w:r>
        <w:rPr>
          <w:rFonts w:hint="eastAsia" w:ascii="Times New Roman" w:hAnsi="Times New Roman"/>
          <w:szCs w:val="21"/>
          <w:lang w:val="en-US" w:eastAsia="zh-CN"/>
        </w:rPr>
        <w:t>客服热线：</w:t>
      </w:r>
    </w:p>
    <w:p>
      <w:pPr>
        <w:pStyle w:val="86753cc2"/>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default" w:ascii="Times New Roman" w:hAnsi="Times New Roman" w:eastAsia="宋体" w:cs="Times New Roman"/>
          <w:kern w:val="2"/>
          <w:sz w:val="21"/>
          <w:szCs w:val="21"/>
          <w:lang w:val="en-US" w:eastAsia="zh-CN"/>
        </w:rPr>
        <w:t>大陆地区客服热线： 400-858-8888</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台湾地区客服热线： 0080-186-3155</w:t>
      </w:r>
    </w:p>
    <w:p>
      <w:pPr>
        <w:pStyle w:val="86753cc2"/>
        <w:numPr>
          <w:ilvl w:val="0"/>
          <w:numId w:val="0"/>
        </w:numPr>
        <w:autoSpaceDE w:val="0"/>
        <w:autoSpaceDN w:val="0"/>
        <w:adjustRightInd w:val="0"/>
        <w:snapToGrid w:val="0"/>
        <w:spacing w:line="276" w:lineRule="auto"/>
        <w:ind w:left="420" w:leftChars="200" w:firstLine="0" w:firstLineChars="0"/>
        <w:rPr>
          <w:rFonts w:hint="default" w:ascii="Times New Roman" w:hAnsi="Times New Roman" w:eastAsia="宋体" w:cs="Times New Roman"/>
          <w:kern w:val="2"/>
          <w:sz w:val="21"/>
          <w:szCs w:val="21"/>
          <w:lang w:val="en-US" w:eastAsia="zh-CN"/>
        </w:rPr>
      </w:pPr>
      <w:r>
        <w:rPr>
          <w:rFonts w:hint="eastAsia" w:ascii="Times New Roman" w:hAnsi="Times New Roman" w:cs="Times New Roman"/>
          <w:kern w:val="2"/>
          <w:sz w:val="21"/>
          <w:szCs w:val="21"/>
          <w:lang w:val="en-US" w:eastAsia="zh-CN"/>
        </w:rPr>
        <w:t>3.</w:t>
      </w:r>
      <w:r>
        <w:rPr>
          <w:rFonts w:hint="default" w:ascii="Times New Roman" w:hAnsi="Times New Roman" w:eastAsia="宋体" w:cs="Times New Roman"/>
          <w:kern w:val="2"/>
          <w:sz w:val="21"/>
          <w:szCs w:val="21"/>
          <w:lang w:val="en-US" w:eastAsia="zh-CN"/>
        </w:rPr>
        <w:t>电子邮箱：</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投诉受理邮箱：  4008588888@xmbankonline.com</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个人信息保护负责人联系方式：</w:t>
      </w:r>
      <w:r>
        <w:rPr>
          <w:rFonts w:hint="default" w:ascii="Times New Roman" w:hAnsi="Times New Roman" w:eastAsia="宋体" w:cs="Times New Roman"/>
          <w:kern w:val="2"/>
          <w:sz w:val="21"/>
          <w:szCs w:val="21"/>
          <w:lang w:val="en-US" w:eastAsia="zh-CN"/>
        </w:rPr>
        <w:fldChar w:fldCharType="begin"/>
      </w:r>
      <w:r>
        <w:rPr>
          <w:rFonts w:hint="default" w:ascii="Times New Roman" w:hAnsi="Times New Roman" w:eastAsia="宋体" w:cs="Times New Roman"/>
          <w:kern w:val="2"/>
          <w:sz w:val="21"/>
          <w:szCs w:val="21"/>
          <w:lang w:val="en-US" w:eastAsia="zh-CN"/>
        </w:rPr>
        <w:instrText xml:space="preserve"> HYPERLINK "mailto:gbfzr@xmbankonline.com" </w:instrText>
      </w:r>
      <w:r>
        <w:rPr>
          <w:rFonts w:hint="default" w:ascii="Times New Roman" w:hAnsi="Times New Roman" w:eastAsia="宋体" w:cs="Times New Roman"/>
          <w:kern w:val="2"/>
          <w:sz w:val="21"/>
          <w:szCs w:val="21"/>
          <w:lang w:val="en-US" w:eastAsia="zh-CN"/>
        </w:rPr>
        <w:fldChar w:fldCharType="separate"/>
      </w:r>
      <w:r>
        <w:rPr>
          <w:rStyle w:val="959900d9"/>
          <w:rFonts w:hint="default" w:ascii="Times New Roman" w:hAnsi="Times New Roman" w:eastAsia="宋体" w:cs="Times New Roman"/>
          <w:kern w:val="2"/>
          <w:sz w:val="21"/>
          <w:szCs w:val="21"/>
          <w:lang w:val="en-US" w:eastAsia="zh-CN"/>
        </w:rPr>
        <w:t>gbfzr@xmbankonline.com</w:t>
      </w:r>
      <w:r>
        <w:rPr>
          <w:rFonts w:hint="default" w:ascii="Times New Roman" w:hAnsi="Times New Roman" w:eastAsia="宋体" w:cs="Times New Roman"/>
          <w:kern w:val="2"/>
          <w:sz w:val="21"/>
          <w:szCs w:val="21"/>
          <w:lang w:val="en-US" w:eastAsia="zh-CN"/>
        </w:rPr>
        <w:fldChar w:fldCharType="end"/>
      </w:r>
    </w:p>
    <w:p>
      <w:pPr>
        <w:pStyle w:val="86753cc2"/>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eastAsia" w:ascii="Times New Roman" w:hAnsi="Times New Roman" w:cs="Times New Roman"/>
          <w:kern w:val="2"/>
          <w:sz w:val="21"/>
          <w:szCs w:val="21"/>
          <w:lang w:val="en-US" w:eastAsia="zh-CN"/>
        </w:rPr>
        <w:t>4.</w:t>
      </w:r>
      <w:r>
        <w:rPr>
          <w:rFonts w:hint="default" w:ascii="Times New Roman" w:hAnsi="Times New Roman" w:eastAsia="宋体" w:cs="Times New Roman"/>
          <w:kern w:val="2"/>
          <w:sz w:val="21"/>
          <w:szCs w:val="21"/>
          <w:lang w:val="en-US" w:eastAsia="zh-CN"/>
        </w:rPr>
        <w:t>信函渠道： </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福建省厦门市思明区湖滨北路101号厦门银行</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消费者权益保护中心</w:t>
      </w:r>
      <w:r>
        <w:rPr>
          <w:rFonts w:hint="default" w:ascii="Times New Roman" w:hAnsi="Times New Roman" w:eastAsia="宋体" w:cs="Times New Roman"/>
          <w:kern w:val="2"/>
          <w:sz w:val="21"/>
          <w:szCs w:val="21"/>
          <w:lang w:val="en-US" w:eastAsia="zh-CN"/>
        </w:rPr>
        <w:br w:type="textWrapping"/>
      </w:r>
      <w:r>
        <w:rPr>
          <w:rFonts w:hint="default" w:ascii="Times New Roman" w:hAnsi="Times New Roman" w:eastAsia="宋体" w:cs="Times New Roman"/>
          <w:kern w:val="2"/>
          <w:sz w:val="21"/>
          <w:szCs w:val="21"/>
          <w:lang w:val="en-US" w:eastAsia="zh-CN"/>
        </w:rPr>
        <w:t>邮编361012</w:t>
      </w:r>
    </w:p>
    <w:p>
      <w:pPr>
        <w:pStyle w:val="86753cc2"/>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eastAsia" w:ascii="Times New Roman" w:hAnsi="Times New Roman"/>
          <w:szCs w:val="21"/>
          <w:lang w:val="en-US" w:eastAsia="zh-CN"/>
        </w:rPr>
        <w:t>5.</w:t>
      </w:r>
      <w:r>
        <w:rPr>
          <w:rFonts w:hint="default" w:ascii="Times New Roman" w:hAnsi="Times New Roman"/>
          <w:szCs w:val="21"/>
        </w:rPr>
        <w:t>在线客服：</w:t>
      </w:r>
      <w:bookmarkStart w:id="0" w:name="_GoBack"/>
      <w:bookmarkEnd w:id="0"/>
    </w:p>
    <w:p>
      <w:pPr>
        <w:pStyle w:val="86753cc2"/>
        <w:numPr>
          <w:ilvl w:val="0"/>
          <w:numId w:val="0"/>
        </w:numPr>
        <w:autoSpaceDE w:val="0"/>
        <w:autoSpaceDN w:val="0"/>
        <w:adjustRightInd w:val="0"/>
        <w:snapToGrid w:val="0"/>
        <w:spacing w:line="276" w:lineRule="auto"/>
        <w:ind w:left="420" w:leftChars="200" w:firstLine="0" w:firstLineChars="0"/>
        <w:rPr>
          <w:rFonts w:hint="default" w:ascii="Times New Roman" w:hAnsi="Times New Roman"/>
          <w:szCs w:val="21"/>
        </w:rPr>
      </w:pPr>
      <w:r>
        <w:rPr>
          <w:rFonts w:hint="default" w:ascii="Times New Roman" w:hAnsi="Times New Roman"/>
          <w:szCs w:val="21"/>
        </w:rPr>
        <w:t>手机银行：登录手机银行首页，右上角点击“在线客服”</w:t>
      </w:r>
    </w:p>
    <w:p>
      <w:pPr>
        <w:pStyle w:val="86753cc2"/>
        <w:numPr>
          <w:ilvl w:val="0"/>
          <w:numId w:val="0"/>
        </w:numPr>
        <w:autoSpaceDE w:val="0"/>
        <w:autoSpaceDN w:val="0"/>
        <w:adjustRightInd w:val="0"/>
        <w:snapToGrid w:val="0"/>
        <w:spacing w:line="276" w:lineRule="auto"/>
        <w:ind w:left="420" w:leftChars="200" w:firstLine="0" w:firstLineChars="0"/>
        <w:rPr>
          <w:rFonts w:ascii="Times New Roman" w:hAnsi="Times New Roman"/>
          <w:szCs w:val="21"/>
        </w:rPr>
      </w:pPr>
      <w:r>
        <w:rPr>
          <w:rFonts w:hint="default" w:ascii="Times New Roman" w:hAnsi="Times New Roman"/>
          <w:szCs w:val="21"/>
        </w:rPr>
        <w:t>网上银行：登录网上银行，右上角点击“在线客服”</w:t>
      </w:r>
    </w:p>
    <w:p>
      <w:pPr>
        <w:pStyle w:val="86753cc2"/>
        <w:autoSpaceDE w:val="0"/>
        <w:autoSpaceDN w:val="0"/>
        <w:adjustRightInd w:val="0"/>
        <w:snapToGrid w:val="0"/>
        <w:spacing w:line="276" w:lineRule="auto"/>
        <w:ind w:firstLine="420" w:firstLineChars="200"/>
        <w:rPr>
          <w:rFonts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二</w:t>
      </w:r>
      <w:r>
        <w:rPr>
          <w:rFonts w:hint="eastAsia" w:ascii="Times New Roman" w:hAnsi="Times New Roman"/>
          <w:szCs w:val="21"/>
          <w:lang w:eastAsia="zh-CN"/>
        </w:rPr>
        <w:t>）</w:t>
      </w:r>
      <w:r>
        <w:rPr>
          <w:rFonts w:ascii="Times New Roman" w:hAnsi="Times New Roman"/>
          <w:szCs w:val="21"/>
        </w:rPr>
        <w:t>如甲方有对理财产品发行与管理相关的投诉与建议，可通过</w:t>
      </w:r>
      <w:r>
        <w:rPr>
          <w:rFonts w:hint="eastAsia" w:ascii="Times New Roman" w:hAnsi="Times New Roman"/>
          <w:szCs w:val="21"/>
          <w:lang w:val="en-US" w:eastAsia="zh-CN"/>
        </w:rPr>
        <w:t>本条款中第（一）款的方式</w:t>
      </w:r>
      <w:r>
        <w:rPr>
          <w:rFonts w:ascii="Times New Roman" w:hAnsi="Times New Roman"/>
          <w:szCs w:val="21"/>
        </w:rPr>
        <w:t>进行反映，</w:t>
      </w:r>
      <w:r>
        <w:rPr>
          <w:rFonts w:hint="eastAsia" w:ascii="Times New Roman" w:hAnsi="Times New Roman"/>
          <w:szCs w:val="21"/>
          <w:lang w:val="en-US" w:eastAsia="zh-CN"/>
        </w:rPr>
        <w:t>以上方式</w:t>
      </w:r>
      <w:r>
        <w:rPr>
          <w:rFonts w:ascii="Times New Roman" w:hAnsi="Times New Roman"/>
          <w:szCs w:val="21"/>
        </w:rPr>
        <w:t>仅为</w:t>
      </w:r>
      <w:r>
        <w:rPr>
          <w:rFonts w:hint="eastAsia" w:ascii="Times New Roman" w:hAnsi="Times New Roman"/>
          <w:szCs w:val="21"/>
          <w:lang w:val="en-US" w:eastAsia="zh-CN"/>
        </w:rPr>
        <w:t>乙方的</w:t>
      </w:r>
      <w:r>
        <w:rPr>
          <w:rFonts w:ascii="Times New Roman" w:hAnsi="Times New Roman"/>
          <w:szCs w:val="21"/>
        </w:rPr>
        <w:t>受理渠道，最终以</w:t>
      </w:r>
      <w:r>
        <w:rPr>
          <w:rFonts w:hint="eastAsia" w:ascii="Times New Roman" w:hAnsi="Times New Roman"/>
          <w:szCs w:val="21"/>
          <w:lang w:val="en-US" w:eastAsia="zh-CN"/>
        </w:rPr>
        <w:t>理财</w:t>
      </w:r>
      <w:r>
        <w:rPr>
          <w:rFonts w:ascii="Times New Roman" w:hAnsi="Times New Roman"/>
          <w:szCs w:val="21"/>
        </w:rPr>
        <w:t>产品发行</w:t>
      </w:r>
      <w:r>
        <w:rPr>
          <w:rFonts w:hint="eastAsia" w:ascii="Times New Roman" w:hAnsi="Times New Roman"/>
          <w:szCs w:val="21"/>
        </w:rPr>
        <w:t>与管理</w:t>
      </w:r>
      <w:r>
        <w:rPr>
          <w:rFonts w:ascii="Times New Roman" w:hAnsi="Times New Roman"/>
          <w:szCs w:val="21"/>
        </w:rPr>
        <w:t>机构处理结果或回复意见为准。</w:t>
      </w:r>
    </w:p>
    <w:p>
      <w:pPr>
        <w:pStyle w:val="86753cc2"/>
        <w:autoSpaceDE w:val="0"/>
        <w:autoSpaceDN w:val="0"/>
        <w:adjustRightInd w:val="0"/>
        <w:snapToGrid w:val="0"/>
        <w:spacing w:line="276" w:lineRule="auto"/>
        <w:ind w:firstLine="420" w:firstLineChars="200"/>
        <w:rPr>
          <w:rFonts w:hint="default" w:ascii="Times New Roman" w:hAnsi="Times New Roman"/>
          <w:szCs w:val="21"/>
        </w:rPr>
      </w:pPr>
      <w:r>
        <w:rPr>
          <w:rFonts w:hint="eastAsia" w:ascii="Times New Roman" w:hAnsi="Times New Roman"/>
          <w:szCs w:val="21"/>
          <w:lang w:eastAsia="zh-CN"/>
        </w:rPr>
        <w:t>（</w:t>
      </w:r>
      <w:r>
        <w:rPr>
          <w:rFonts w:hint="eastAsia" w:ascii="Times New Roman" w:hAnsi="Times New Roman"/>
          <w:szCs w:val="21"/>
          <w:lang w:val="en-US" w:eastAsia="zh-CN"/>
        </w:rPr>
        <w:t>三</w:t>
      </w:r>
      <w:r>
        <w:rPr>
          <w:rFonts w:hint="eastAsia" w:ascii="Times New Roman" w:hAnsi="Times New Roman"/>
          <w:szCs w:val="21"/>
          <w:lang w:eastAsia="zh-CN"/>
        </w:rPr>
        <w:t>）</w:t>
      </w:r>
      <w:r>
        <w:rPr>
          <w:rFonts w:hint="default" w:ascii="Times New Roman" w:hAnsi="Times New Roman"/>
          <w:szCs w:val="21"/>
        </w:rPr>
        <w:t>受理</w:t>
      </w:r>
      <w:r>
        <w:rPr>
          <w:rFonts w:hint="eastAsia" w:ascii="Times New Roman" w:hAnsi="Times New Roman"/>
          <w:szCs w:val="21"/>
          <w:lang w:val="en-US" w:eastAsia="zh-CN"/>
        </w:rPr>
        <w:t>甲方</w:t>
      </w:r>
      <w:r>
        <w:rPr>
          <w:rFonts w:hint="default" w:ascii="Times New Roman" w:hAnsi="Times New Roman"/>
          <w:szCs w:val="21"/>
        </w:rPr>
        <w:t>的问题后，</w:t>
      </w:r>
      <w:r>
        <w:rPr>
          <w:rFonts w:hint="eastAsia" w:ascii="Times New Roman" w:hAnsi="Times New Roman"/>
          <w:szCs w:val="21"/>
          <w:lang w:val="en-US" w:eastAsia="zh-CN"/>
        </w:rPr>
        <w:t>乙方将</w:t>
      </w:r>
      <w:r>
        <w:rPr>
          <w:rFonts w:hint="default" w:ascii="Times New Roman" w:hAnsi="Times New Roman"/>
          <w:szCs w:val="21"/>
        </w:rPr>
        <w:t>及时进行处理，并在15日内回复处理意见或结果，请</w:t>
      </w:r>
      <w:r>
        <w:rPr>
          <w:rFonts w:hint="eastAsia" w:ascii="Times New Roman" w:hAnsi="Times New Roman"/>
          <w:szCs w:val="21"/>
          <w:lang w:val="en-US" w:eastAsia="zh-CN"/>
        </w:rPr>
        <w:t>甲方</w:t>
      </w:r>
      <w:r>
        <w:rPr>
          <w:rFonts w:hint="default" w:ascii="Times New Roman" w:hAnsi="Times New Roman"/>
          <w:szCs w:val="21"/>
        </w:rPr>
        <w:t>保持接收渠道畅通。</w:t>
      </w:r>
    </w:p>
    <w:p>
      <w:pPr>
        <w:pStyle w:val="86753cc2"/>
        <w:autoSpaceDE w:val="0"/>
        <w:autoSpaceDN w:val="0"/>
        <w:adjustRightInd w:val="0"/>
        <w:snapToGrid w:val="0"/>
        <w:spacing w:line="276" w:lineRule="auto"/>
        <w:ind w:firstLine="420" w:firstLineChars="200"/>
        <w:rPr>
          <w:rFonts w:hint="default" w:ascii="Times New Roman" w:hAnsi="Times New Roman"/>
          <w:szCs w:val="21"/>
        </w:rPr>
      </w:pPr>
    </w:p>
    <w:p>
      <w:pPr>
        <w:pStyle w:val="86753cc2"/>
        <w:spacing w:line="276" w:lineRule="auto"/>
        <w:ind w:left="7440" w:hanging="7440"/>
        <w:rPr>
          <w:rFonts w:hint="default" w:ascii="Times New Roman" w:hAnsi="Times New Roman" w:eastAsia="宋体"/>
          <w:szCs w:val="21"/>
          <w:highlight w:val="none"/>
          <w:lang w:val="en-US" w:eastAsia="zh-CN"/>
        </w:rPr>
      </w:pPr>
      <w:r>
        <w:rPr>
          <w:rFonts w:ascii="Times New Roman" w:hAnsi="Times New Roman"/>
          <w:szCs w:val="21"/>
        </w:rPr>
        <w:t>甲方:                                            乙</w:t>
      </w:r>
      <w:r>
        <w:rPr>
          <w:rFonts w:ascii="Times New Roman" w:hAnsi="Times New Roman"/>
          <w:szCs w:val="21"/>
          <w:highlight w:val="none"/>
        </w:rPr>
        <w:t>方：</w:t>
      </w:r>
      <w:r>
        <w:rPr>
          <w:rFonts w:hint="eastAsia" w:ascii="Times New Roman" w:hAnsi="Times New Roman"/>
          <w:szCs w:val="21"/>
          <w:highlight w:val="none"/>
          <w:lang w:val="en-US" w:eastAsia="zh-CN"/>
        </w:rPr>
        <w:t>厦门银行股份有限公司</w:t>
      </w:r>
    </w:p>
    <w:p>
      <w:pPr>
        <w:pStyle w:val="86753cc2"/>
        <w:spacing w:line="276" w:lineRule="auto"/>
        <w:ind w:left="7440" w:hanging="7440"/>
        <w:rPr>
          <w:rFonts w:ascii="Times New Roman" w:hAnsi="Times New Roman"/>
          <w:sz w:val="24"/>
        </w:rPr>
      </w:pPr>
    </w:p>
    <w:p>
      <w:pPr>
        <w:pStyle w:val="86753cc2"/>
        <w:spacing w:line="276" w:lineRule="auto"/>
        <w:ind w:left="7440" w:hanging="7440"/>
        <w:rPr>
          <w:rFonts w:ascii="Times New Roman" w:hAnsi="Times New Roman"/>
          <w:szCs w:val="21"/>
        </w:rPr>
      </w:pPr>
    </w:p>
    <w:p>
      <w:pPr>
        <w:pStyle w:val="86753cc2"/>
        <w:spacing w:line="276" w:lineRule="auto"/>
        <w:ind w:left="7440" w:hanging="7440"/>
        <w:rPr>
          <w:rFonts w:ascii="Times New Roman" w:hAnsi="Times New Roman"/>
          <w:sz w:val="24"/>
        </w:rPr>
      </w:pPr>
      <w:r>
        <w:rPr>
          <w:rFonts w:ascii="Times New Roman" w:hAnsi="Times New Roman"/>
          <w:szCs w:val="21"/>
        </w:rPr>
        <w:t xml:space="preserve">个人投资者签字：                              </w:t>
      </w:r>
    </w:p>
    <w:p>
      <w:pPr>
        <w:pStyle w:val="86753cc2"/>
        <w:spacing w:line="276" w:lineRule="auto"/>
        <w:rPr>
          <w:rFonts w:ascii="Times New Roman" w:hAnsi="Times New Roman"/>
          <w:szCs w:val="21"/>
        </w:rPr>
      </w:pPr>
    </w:p>
    <w:p>
      <w:pPr>
        <w:pStyle w:val="86753cc2"/>
        <w:spacing w:line="276" w:lineRule="auto"/>
        <w:rPr>
          <w:rFonts w:ascii="Times New Roman" w:hAnsi="Times New Roman"/>
          <w:szCs w:val="21"/>
        </w:rPr>
      </w:pPr>
    </w:p>
    <w:p>
      <w:pPr>
        <w:pStyle w:val="86753cc2"/>
        <w:adjustRightInd w:val="0"/>
        <w:snapToGrid w:val="0"/>
        <w:spacing w:line="276" w:lineRule="auto"/>
        <w:rPr>
          <w:rFonts w:ascii="Times New Roman" w:hAnsi="Times New Roman"/>
        </w:rPr>
      </w:pPr>
      <w:r>
        <w:rPr>
          <w:rFonts w:ascii="Times New Roman" w:hAnsi="Times New Roman"/>
          <w:szCs w:val="21"/>
        </w:rPr>
        <w:t>签约时间：   年   月   日                        签约时间：  年   月   日</w:t>
      </w:r>
    </w:p>
    <w:sectPr/>
  </w:body>
</w:document>
</file>

<file path=word/numbering.xml><?xml version="1.0" encoding="utf-8"?>
<w:numbering xmlns:w="http://schemas.openxmlformats.org/wordprocessingml/2006/main">
  <w:abstractNum xmlns:wpc="http://schemas.microsoft.com/office/word/2010/wordprocessingCanvas" xmlns:wp14="http://schemas.microsoft.com/office/word/2010/wordprocessingDrawing" xmlns:m="http://schemas.openxmlformats.org/officeDocument/2006/math" xmlns:o="urn:schemas-microsoft-com:office:office" xmlns:wpg="http://schemas.microsoft.com/office/word/2010/wordprocessingGroup" xmlns:wne="http://schemas.microsoft.com/office/word/2006/wordml" xmlns:wpi="http://schemas.microsoft.com/office/word/2010/wordprocessingInk" xmlns:r="http://schemas.openxmlformats.org/officeDocument/2006/relationships" xmlns:wpsCustomData="http://www.wps.cn/officeDocument/2013/wpsCustomData" xmlns:mc="http://schemas.openxmlformats.org/markup-compatibility/2006" xmlns:v="urn:schemas-microsoft-com:vml" xmlns:w10="urn:schemas-microsoft-com:office:word" xmlns:wp="http://schemas.openxmlformats.org/drawingml/2006/wordprocessingDrawing" xmlns:w14="http://schemas.microsoft.com/office/word/2010/wordml" xmlns:wps="http://schemas.microsoft.com/office/word/2010/wordprocessingShape" w:abstractNumId="1">
    <w:multiLevelType w:val="singleLevel"/>
    <w:lvl w:ilvl="0" w:tentative="0">
      <w:start w:val="15"/>
      <w:numFmt w:val="chineseCounting"/>
      <w:suff w:val="nothing"/>
      <w:lvlText w:val="（%1）"/>
      <w:lvlJc w:val="left"/>
    </w:lvl>
  </w:abstractNum>
  <w:num w:numId="1">
    <w:abstractNumId w:val="1"/>
  </w:num>
</w:numbering>
</file>

<file path=word/settings.xml><?xml version="1.0" encoding="utf-8"?>
<w:settings xmlns:w="http://schemas.openxmlformats.org/wordprocessingml/2006/main"/>
</file>

<file path=word/styles.xml><?xml version="1.0" encoding="utf-8"?>
<w:styles xmlns:w="http://schemas.openxmlformats.org/wordprocessingml/2006/main">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
    <w:name w:val="Normal1"/>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2">
    <w:name w:val="heading 12"/>
    <w:basedOn w:val="1"/>
    <w:next w:val="1"/>
    <w:qFormat/>
    <w:uiPriority w:val="0"/>
    <w:pPr>
      <w:keepNext/>
      <w:keepLines/>
      <w:spacing w:before="340" w:after="330" w:line="578" w:lineRule="auto"/>
      <w:outlineLvl w:val="0"/>
    </w:pPr>
    <w:rPr>
      <w:b/>
      <w:bCs/>
      <w:kern w:val="44"/>
      <w:sz w:val="44"/>
      <w:szCs w:val="4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3">
    <w:name w:val="heading 23"/>
    <w:basedOn w:val="1"/>
    <w:next w:val="1"/>
    <w:qFormat/>
    <w:uiPriority w:val="0"/>
    <w:pPr>
      <w:keepNext/>
      <w:keepLines/>
      <w:spacing w:before="260" w:after="260" w:line="415" w:lineRule="auto"/>
      <w:outlineLvl w:val="1"/>
    </w:pPr>
    <w:rPr>
      <w:rFonts w:ascii="Arial" w:hAnsi="Arial" w:eastAsia="黑体"/>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4">
    <w:name w:val="heading 34"/>
    <w:basedOn w:val="1"/>
    <w:next w:val="1"/>
    <w:qFormat/>
    <w:uiPriority w:val="0"/>
    <w:pPr>
      <w:keepNext/>
      <w:keepLines/>
      <w:spacing w:before="260" w:after="260" w:line="413" w:lineRule="auto"/>
      <w:outlineLvl w:val="2"/>
    </w:pPr>
    <w:rPr>
      <w:rFonts w:ascii="Calibri" w:hAnsi="Calibri"/>
      <w:b/>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3">
    <w:name w:val="Default Paragraph Font13"/>
    <w:unhideWhenUsed/>
    <w:qFormat/>
    <w:uiPriority w:val="1"/>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1">
    <w:name w:val="Normal Table11"/>
    <w:unhideWhenUsed/>
    <w:qFormat/>
    <w:uiPriority w:val="99"/>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5">
    <w:name w:val="annotation text5"/>
    <w:basedOn w:val="1"/>
    <w:qFormat/>
    <w:uiPriority w:val="0"/>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
    <w:name w:val="Body Text Indent6"/>
    <w:basedOn w:val="1"/>
    <w:unhideWhenUsed/>
    <w:qFormat/>
    <w:uiPriority w:val="0"/>
    <w:pPr>
      <w:ind w:firstLine="63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7">
    <w:name w:val="Body Text Indent 27"/>
    <w:basedOn w:val="1"/>
    <w:unhideWhenUsed/>
    <w:qFormat/>
    <w:uiPriority w:val="0"/>
    <w:pPr>
      <w:ind w:firstLine="600"/>
    </w:pPr>
    <w:rPr>
      <w:kern w:val="0"/>
      <w:sz w:val="24"/>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
    <w:name w:val="Balloon Text8"/>
    <w:basedOn w:val="1"/>
    <w:semiHidden/>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9">
    <w:name w:val="footer9"/>
    <w:basedOn w:val="1"/>
    <w:unhideWhenUsed/>
    <w:qFormat/>
    <w:uiPriority w:val="0"/>
    <w:pPr>
      <w:tabs>
        <w:tab w:val="center" w:pos="4153"/>
        <w:tab w:val="right" w:pos="8306"/>
      </w:tabs>
      <w:snapToGrid w:val="0"/>
      <w:jc w:val="left"/>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0">
    <w:name w:val="header10"/>
    <w:basedOn w:val="1"/>
    <w:unhideWhenUsed/>
    <w:qFormat/>
    <w:uiPriority w:val="0"/>
    <w:pPr>
      <w:pBdr>
        <w:bottom w:val="single" w:color="auto" w:sz="6" w:space="1"/>
      </w:pBdr>
      <w:tabs>
        <w:tab w:val="center" w:pos="4153"/>
        <w:tab w:val="right" w:pos="8306"/>
      </w:tabs>
      <w:snapToGrid w:val="0"/>
      <w:jc w:val="center"/>
    </w:pPr>
    <w:rPr>
      <w:sz w:val="18"/>
      <w:szCs w:val="20"/>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12">
    <w:name w:val="Table Grid12"/>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14">
    <w:name w:val="annotation reference14"/>
    <w:qFormat/>
    <w:uiPriority w:val="0"/>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5">
    <w:name w:val="Revision15"/>
    <w:unhideWhenUsed/>
    <w:qFormat/>
    <w:uiPriority w:val="99"/>
    <w:rPr>
      <w:rFonts w:ascii="Times New Roman" w:hAnsi="Times New Roman" w:eastAsia="宋体" w:cs="Times New Roman"/>
      <w:kern w:val="2"/>
      <w:sz w:val="21"/>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6">
    <w:name w:val="正文 A16"/>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7">
    <w:name w:val="p017"/>
    <w:basedOn w:val="1"/>
    <w:qFormat/>
    <w:uiPriority w:val="0"/>
    <w:pPr>
      <w:widowControl/>
    </w:pPr>
    <w:rPr>
      <w:kern w:val="0"/>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8">
    <w:name w:val="Default18"/>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19">
    <w:name w:val="YJH-nei19"/>
    <w:qFormat/>
    <w:uiPriority w:val="0"/>
    <w:pPr>
      <w:spacing w:line="600" w:lineRule="exact"/>
      <w:ind w:firstLine="200" w:firstLineChars="200"/>
    </w:pPr>
    <w:rPr>
      <w:rFonts w:ascii="仿宋_GB2312" w:hAnsi="宋体" w:eastAsia="仿宋_GB2312" w:cs="Times New Roman"/>
      <w:sz w:val="30"/>
      <w:szCs w:val="30"/>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0">
    <w:name w:val="font1120"/>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1">
    <w:name w:val="font0121"/>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2">
    <w:name w:val="font5122"/>
    <w:qFormat/>
    <w:uiPriority w:val="0"/>
    <w:rPr>
      <w:rFonts w:hint="default" w:ascii="Times New Roman" w:hAnsi="Times New Roman" w:cs="Times New Roman"/>
      <w:color w:val="000000"/>
      <w:sz w:val="24"/>
      <w:szCs w:val="24"/>
      <w:u w:val="non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23">
    <w:name w:val="font8123"/>
    <w:qFormat/>
    <w:uiPriority w:val="0"/>
    <w:rPr>
      <w:rFonts w:hint="default" w:ascii="微软简仿宋" w:hAnsi="微软简仿宋" w:eastAsia="微软简仿宋" w:cs="微软简仿宋"/>
      <w:color w:val="000000"/>
      <w:sz w:val="24"/>
      <w:szCs w:val="24"/>
      <w:u w:val="non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
    <w:name w:val="Normala"/>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
    <w:name w:val="Default Paragraph Fonta0"/>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a1">
    <w:name w:val="Normal Tablea1"/>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a2">
    <w:name w:val="No Lista2"/>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3">
    <w:name w:val="Hyperlinka3"/>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4">
    <w:name w:val="page numbera4"/>
    <w:basedOn w:val="a0"/>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5">
    <w:name w:val="页脚 字符a5"/>
    <w:link w:val="a6"/>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7">
    <w:name w:val="批注文字 字符a7"/>
    <w:link w:val="a8"/>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9">
    <w:name w:val="annotation referencea9"/>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a">
    <w:name w:val="页眉 字符aa"/>
    <w:link w:val="ab"/>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c">
    <w:name w:val="annotation subjectac"/>
    <w:basedOn w:val="a8"/>
    <w:next w:val="a8"/>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CharCharCharCharCharCharCharCharCharCharCharChar">
    <w:name w:val="Char Char Char Char Char Char Char Char Char Char Char CharCharCharCharCharCharCharCharCharCharCharCharChar"/>
    <w:basedOn w:val="a"/>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
    <w:name w:val="Balloon Textad"/>
    <w:basedOn w:val="a"/>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b">
    <w:name w:val="headerab"/>
    <w:basedOn w:val="a"/>
    <w:link w:val="aa"/>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6">
    <w:name w:val="footera6"/>
    <w:basedOn w:val="a"/>
    <w:link w:val="a5"/>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8">
    <w:name w:val="annotation texta8"/>
    <w:basedOn w:val="a"/>
    <w:link w:val="a7"/>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Default">
    <w:name w:val="DefaultDefault"/>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37398bf">
    <w:name w:val="Normalc37398bf"/>
    <w:qFormat/>
    <w:pPr>
      <w:widowControl w:val="0"/>
      <w:jc w:val="both"/>
    </w:pPr>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010b0fd">
    <w:name w:val="Default Paragraph Fonta010b0fd"/>
    <w:link w:val="CharCharCharCharCharCharCharCharCharCharCharChar"/>
    <w:semiHidden/>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747949a5">
    <w:name w:val="Normal Table747949a5"/>
    <w:semiHidden/>
    <w:tblPr>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33cff437">
    <w:name w:val="No List33cff437"/>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b7f8a28">
    <w:name w:val="批注文字 字符db7f8a28"/>
    <w:link w:val="a4"/>
    <w:semiHidden/>
    <w:rPr>
      <w:kern w:val="2"/>
      <w:sz w:val="21"/>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
    <w:name w:val="HTML AcronymHTML"/>
    <w:basedOn w:val="a010b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9fef262">
    <w:name w:val="Strong49fef262"/>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6b3f679">
    <w:name w:val="页脚 字符a6b3f679"/>
    <w:link w:val="a7"/>
    <w:rPr>
      <w:rFonts w:eastAsia="宋体"/>
      <w:kern w:val="2"/>
      <w:sz w:val="18"/>
      <w:szCs w:val="18"/>
      <w:lang w:val="en-US" w:eastAsia="zh-CN" w:bidi="ar-SA"/>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current">
    <w:name w:val="currentcurrent"/>
    <w:rPr>
      <w:color w:val="FFFFFF"/>
      <w:bdr w:val="single" w:sz="6" w:space="0" w:color="8DB5D7"/>
      <w:shd w:val="clear" w:color="auto" w:fill="0080FF"/>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leftmenu-morenav">
    <w:name w:val="leftmenu-morenavleftmenu-morenav"/>
    <w:basedOn w:val="a010b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isabled">
    <w:name w:val="disableddisabled"/>
    <w:rPr>
      <w:color w:val="CCCCCC"/>
      <w:bdr w:val="single" w:sz="6" w:space="0" w:color="CCCCCC"/>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1ad4deb">
    <w:name w:val="annotation referencee1ad4deb"/>
    <w:semiHidden/>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370f257b">
    <w:name w:val="page number370f257b"/>
    <w:basedOn w:val="a010b0f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4578a804">
    <w:name w:val="Hyperlink4578a804"/>
    <w:rPr>
      <w:color w:val="0000FF"/>
      <w:u w:val="single"/>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0">
    <w:name w:val="HTML VariableHTML0"/>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7d17193">
    <w:name w:val="页眉 字符d7d17193"/>
    <w:link w:val="ac"/>
    <w:uiPriority w:val="99"/>
    <w:rPr>
      <w:kern w:val="2"/>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1">
    <w:name w:val="HTML DefinitionHTML1"/>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26498e8b">
    <w:name w:val="Emphasis26498e8b"/>
    <w:qFormat/>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2">
    <w:name w:val="HTML CiteHTML2"/>
    <w:rPr>
      <w:b w:val="0"/>
      <w:i w:val="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HTML3">
    <w:name w:val="HTML CodeHTML3"/>
    <w:rPr>
      <w:rFonts w:ascii="Courier New" w:hAnsi="Courier New"/>
      <w:b w:val="0"/>
      <w:i w:val="0"/>
      <w:sz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72e9600">
    <w:name w:val="footerd72e9600"/>
    <w:basedOn w:val="c37398bf"/>
    <w:link w:val="a6"/>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11b865a">
    <w:name w:val="header811b865a"/>
    <w:basedOn w:val="c37398bf"/>
    <w:link w:val="ab"/>
    <w:uiPriority w:val="99"/>
    <w:pPr>
      <w:pBdr>
        <w:bottom w:val="single" w:sz="6" w:space="1" w:color="auto"/>
      </w:pBdr>
      <w:tabs>
        <w:tab w:val="center" w:pos="4153"/>
        <w:tab w:val="right" w:pos="8306"/>
      </w:tabs>
      <w:snapToGrid w:val="0"/>
      <w:jc w:val="center"/>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55b6387d">
    <w:name w:val="Char Char Char Char Char Char Char Char Char Char Char Char55b6387d"/>
    <w:basedOn w:val="c37398bf"/>
    <w:link w:val="a0"/>
    <w:pPr>
      <w:widowControl/>
      <w:spacing w:after="160" w:line="240" w:lineRule="exact"/>
      <w:jc w:val="left"/>
    </w:pPr>
    <w:rPr>
      <w:rFonts w:ascii="Tahoma" w:hAnsi="Tahoma" w:cs="Tahoma"/>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e">
    <w:name w:val="Balloon Textae"/>
    <w:basedOn w:val="c37398bf"/>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c6c7c00">
    <w:name w:val="annotation text6c6c7c00"/>
    <w:basedOn w:val="c37398bf"/>
    <w:link w:val="a3"/>
    <w:semiHidden/>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f">
    <w:name w:val="annotation subjectaf"/>
    <w:basedOn w:val="6c6c7c00"/>
    <w:next w:val="a4"/>
    <w:semiHidden/>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1fa88ea5">
    <w:name w:val="Default1fa88ea5"/>
    <w:pPr>
      <w:widowControl w:val="0"/>
      <w:autoSpaceDE w:val="0"/>
      <w:autoSpaceDN w:val="0"/>
      <w:adjustRightInd w:val="0"/>
    </w:pPr>
    <w:rPr>
      <w:rFonts w:ascii="宋体" w:cs="宋体"/>
      <w:color w:val="000000"/>
      <w:sz w:val="24"/>
      <w:szCs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7063fc63">
    <w:name w:val="Normal7063fc63"/>
    <w:qFormat/>
    <w:pPr>
      <w:widowControl w:val="0"/>
      <w:jc w:val="both"/>
    </w:pPr>
    <w:rPr>
      <w:rFonts w:ascii="Calibri" w:hAnsi="Calibri" w:cs="黑体"/>
      <w:kern w:val="2"/>
      <w:sz w:val="21"/>
      <w:szCs w:val="2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919f7e9d">
    <w:name w:val="heading 1919f7e9d"/>
    <w:basedOn w:val="7063fc63"/>
    <w:next w:val="a"/>
    <w:link w:val="10"/>
    <w:uiPriority w:val="9"/>
    <w:qFormat/>
    <w:pPr>
      <w:keepNext/>
      <w:keepLines/>
      <w:spacing w:line="560" w:lineRule="exact"/>
      <w:outlineLvl w:val="0"/>
    </w:pPr>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d47c409b">
    <w:name w:val="heading 2d47c409b"/>
    <w:basedOn w:val="7063fc63"/>
    <w:next w:val="a"/>
    <w:link w:val="20"/>
    <w:uiPriority w:val="9"/>
    <w:qFormat/>
    <w:pPr>
      <w:keepNext/>
      <w:keepLines/>
      <w:spacing w:line="560" w:lineRule="exact"/>
      <w:outlineLvl w:val="1"/>
    </w:pPr>
    <w:rPr>
      <w:rFonts w:ascii="Calibri Light" w:eastAsia="楷体" w:hAnsi="Calibri Light"/>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b5ec109e">
    <w:name w:val="heading 3b5ec109e"/>
    <w:basedOn w:val="7063fc63"/>
    <w:next w:val="a"/>
    <w:link w:val="30"/>
    <w:uiPriority w:val="9"/>
    <w:qFormat/>
    <w:pPr>
      <w:keepNext/>
      <w:keepLines/>
      <w:spacing w:line="560" w:lineRule="exact"/>
      <w:outlineLvl w:val="2"/>
    </w:pPr>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e026c767">
    <w:name w:val="Default Paragraph Fonte026c767"/>
    <w:uiPriority w:val="1"/>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table" w:styleId="53c20306">
    <w:name w:val="Normal Table53c20306"/>
    <w:uiPriority w:val="99"/>
    <w:semiHidden/>
    <w:unhideWhenUsed/>
    <w:tblPr>
      <w:tblInd w:w="0" w:type="dxa"/>
      <w:tblCellMar>
        <w:top w:w="0" w:type="dxa"/>
        <w:left w:w="108" w:type="dxa"/>
        <w:bottom w:w="0" w:type="dxa"/>
        <w:right w:w="108" w:type="dxa"/>
      </w:tblCellMar>
    </w:tbl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numbering" w:styleId="05ae45cd">
    <w:name w:val="No List05ae45cd"/>
    <w:uiPriority w:val="99"/>
    <w:semiHidden/>
    <w:unhideWhenUsed/>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207442ef">
    <w:name w:val="标题 1 字符207442ef"/>
    <w:link w:val="1"/>
    <w:uiPriority w:val="9"/>
    <w:qFormat/>
    <w:rPr>
      <w:rFonts w:eastAsia="黑体"/>
      <w:b/>
      <w:bCs/>
      <w:kern w:val="44"/>
      <w:sz w:val="32"/>
      <w:szCs w:val="4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d16027e6">
    <w:name w:val="标题 2 字符d16027e6"/>
    <w:link w:val="2"/>
    <w:uiPriority w:val="9"/>
    <w:rPr>
      <w:rFonts w:ascii="Calibri Light" w:eastAsia="楷体" w:hAnsi="Calibri Light" w:cs="黑体"/>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30">
    <w:name w:val="标题 3 字符30"/>
    <w:link w:val="3"/>
    <w:uiPriority w:val="9"/>
    <w:semiHidden/>
    <w:rPr>
      <w:rFonts w:eastAsia="微软简仿宋"/>
      <w:b/>
      <w:bCs/>
      <w:sz w:val="32"/>
      <w:szCs w:val="32"/>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86bf633">
    <w:name w:val="annotation text686bf633"/>
    <w:basedOn w:val="7063fc63"/>
    <w:link w:val="a4"/>
    <w:unhideWhenUsed/>
    <w:pPr>
      <w:jc w:val="left"/>
    </w:p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7a57b078">
    <w:name w:val="批注文字 字符7a57b078"/>
    <w:basedOn w:val="e026c767"/>
    <w:link w:val="a3"/>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c4ea52ea">
    <w:name w:val="Balloon Textc4ea52ea"/>
    <w:basedOn w:val="7063fc63"/>
    <w:link w:val="a6"/>
    <w:uiPriority w:val="99"/>
    <w:unhideWhenUsed/>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bb0f72c3">
    <w:name w:val="批注框文本 字符bb0f72c3"/>
    <w:link w:val="a5"/>
    <w:uiPriority w:val="99"/>
    <w:semiHidden/>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3de0af9b">
    <w:name w:val="footer3de0af9b"/>
    <w:basedOn w:val="7063fc63"/>
    <w:link w:val="a8"/>
    <w:uiPriority w:val="99"/>
    <w:unhideWhenUsed/>
    <w:pPr>
      <w:tabs>
        <w:tab w:val="center" w:pos="4153"/>
        <w:tab w:val="right" w:pos="8306"/>
      </w:tabs>
      <w:snapToGrid w:val="0"/>
      <w:jc w:val="left"/>
    </w:pPr>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175f1999">
    <w:name w:val="页脚 字符175f1999"/>
    <w:link w:val="a7"/>
    <w:uiPriority w:val="99"/>
    <w:rPr>
      <w:sz w:val="18"/>
      <w:szCs w:val="18"/>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82b5cb5f">
    <w:name w:val="header82b5cb5f"/>
    <w:basedOn w:val="7063fc63"/>
    <w:link w:val="aa"/>
    <w:unhideWhenUsed/>
    <w:pPr>
      <w:pBdr>
        <w:bottom w:val="single" w:sz="6" w:space="1" w:color="auto"/>
      </w:pBdr>
      <w:tabs>
        <w:tab w:val="center" w:pos="4153"/>
        <w:tab w:val="right" w:pos="8306"/>
      </w:tabs>
      <w:snapToGrid w:val="0"/>
      <w:spacing w:line="560" w:lineRule="exact"/>
      <w:jc w:val="center"/>
    </w:pPr>
    <w:rPr>
      <w:rFonts w:ascii="Times New Roman"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66e773e">
    <w:name w:val="页眉 字符a66e773e"/>
    <w:link w:val="a9"/>
    <w:qFormat/>
    <w:rPr>
      <w:rFonts w:ascii="Times New Roman" w:eastAsia="宋体" w:hAnsi="Times New Roman" w:cs="Times New Roman"/>
      <w:sz w:val="18"/>
      <w:szCs w:val="20"/>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ad54d0b6">
    <w:name w:val="Normal (Web)ad54d0b6"/>
    <w:unhideWhenUsed/>
    <w:pPr>
      <w:spacing w:before="100" w:beforeAutospacing="1" w:after="100" w:afterAutospacing="1"/>
    </w:pPr>
    <w:rPr>
      <w:sz w:val="24"/>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styleId="641dd85b">
    <w:name w:val="annotation subject641dd85b"/>
    <w:basedOn w:val="686bf633"/>
    <w:next w:val="a3"/>
    <w:link w:val="ad"/>
    <w:uiPriority w:val="99"/>
    <w:unhideWhenUsed/>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customStyle="1" w:styleId="afbb7179">
    <w:name w:val="批注主题 字符afbb7179"/>
    <w:link w:val="ac"/>
    <w:uiPriority w:val="99"/>
    <w:semiHidden/>
    <w:qFormat/>
    <w:rPr>
      <w:b/>
      <w:bCs/>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character" w:styleId="a69e1df1">
    <w:name w:val="annotation referencea69e1df1"/>
    <w:uiPriority w:val="99"/>
    <w:unhideWhenUsed/>
    <w:rPr>
      <w:sz w:val="21"/>
      <w:szCs w:val="21"/>
    </w:rPr>
  </w:style>
  <w:style xmlns:r="http://schemas.openxmlformats.org/officeDocument/2006/relationships" xmlns:mc="http://schemas.openxmlformats.org/markup-compatibility/2006" xmlns:w16cex="http://schemas.microsoft.com/office/word/2018/wordml/cex" xmlns:w15="http://schemas.microsoft.com/office/word/2012/wordml" xmlns:w16se="http://schemas.microsoft.com/office/word/2015/wordml/symex" xmlns:w14="http://schemas.microsoft.com/office/word/2010/wordml" xmlns:w16="http://schemas.microsoft.com/office/word/2018/wordml" xmlns:w16sdtdh="http://schemas.microsoft.com/office/word/2020/wordml/sdtdatahash" xmlns:w16cid="http://schemas.microsoft.com/office/word/2016/wordml/cid" w:type="paragraph" w:customStyle="1" w:styleId="9d5bc7ca">
    <w:name w:val="Char Char Char Char Char Char Char Char Char Char Char Char9d5bc7ca"/>
    <w:basedOn w:val="7063fc63"/>
    <w:pPr>
      <w:widowControl/>
      <w:spacing w:after="160" w:line="240" w:lineRule="exact"/>
      <w:jc w:val="left"/>
    </w:pPr>
    <w:rPr>
      <w:rFonts w:ascii="Tahoma" w:hAnsi="Tahoma" w:cs="Tahoma"/>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86753cc2">
    <w:name w:val="Normal86753cc2"/>
    <w:qFormat/>
    <w:uiPriority w:val="0"/>
    <w:pPr>
      <w:widowControl w:val="0"/>
      <w:jc w:val="both"/>
    </w:pPr>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2712ce7d">
    <w:name w:val="Default Paragraph Font2712ce7d"/>
    <w:semiHidden/>
    <w:qFormat/>
    <w:uiPriority w:val="0"/>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table" w:styleId="85c68248">
    <w:name w:val="Normal Table85c68248"/>
    <w:semiHidden/>
    <w:qFormat/>
    <w:uiPriority w:val="0"/>
    <w:tblPr>
      <w:tblCellMar>
        <w:top w:w="0" w:type="dxa"/>
        <w:left w:w="108" w:type="dxa"/>
        <w:bottom w:w="0" w:type="dxa"/>
        <w:right w:w="108" w:type="dxa"/>
      </w:tblCellMar>
    </w:tbl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68382442">
    <w:name w:val="annotation text68382442"/>
    <w:basedOn w:val="86753cc2"/>
    <w:link w:val="13"/>
    <w:qFormat/>
    <w:uiPriority w:val="99"/>
    <w:pPr>
      <w:jc w:val="left"/>
    </w:p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0bd8f545">
    <w:name w:val="Balloon Text0bd8f545"/>
    <w:basedOn w:val="86753cc2"/>
    <w:link w:val="14"/>
    <w:qFormat/>
    <w:uiPriority w:val="0"/>
    <w:rPr>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1b884337">
    <w:name w:val="footer1b884337"/>
    <w:basedOn w:val="86753cc2"/>
    <w:link w:val="15"/>
    <w:semiHidden/>
    <w:qFormat/>
    <w:uiPriority w:val="0"/>
    <w:pPr>
      <w:tabs>
        <w:tab w:val="center" w:pos="4153"/>
        <w:tab w:val="right" w:pos="8306"/>
      </w:tabs>
      <w:snapToGrid w:val="0"/>
      <w:jc w:val="left"/>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a7109e05">
    <w:name w:val="headera7109e05"/>
    <w:basedOn w:val="86753cc2"/>
    <w:link w:val="16"/>
    <w:qFormat/>
    <w:uiPriority w:val="99"/>
    <w:pPr>
      <w:pBdr>
        <w:bottom w:val="single" w:color="auto" w:sz="6" w:space="1"/>
      </w:pBdr>
      <w:tabs>
        <w:tab w:val="center" w:pos="4153"/>
        <w:tab w:val="right" w:pos="8306"/>
      </w:tabs>
      <w:snapToGrid w:val="0"/>
      <w:jc w:val="center"/>
    </w:pPr>
    <w:rPr>
      <w:kern w:val="0"/>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styleId="c97066d0">
    <w:name w:val="annotation subjectc97066d0"/>
    <w:basedOn w:val="68382442"/>
    <w:next w:val="2"/>
    <w:link w:val="17"/>
    <w:qFormat/>
    <w:uiPriority w:val="0"/>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70c49a85">
    <w:name w:val="Strong70c49a85"/>
    <w:qFormat/>
    <w:uiPriority w:val="22"/>
    <w:rPr>
      <w:b/>
      <w:bCs/>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c32d1b50">
    <w:name w:val="page numberc32d1b50"/>
    <w:qFormat/>
    <w:uiPriority w:val="0"/>
    <w:rPr>
      <w:rFonts w:cs="Times New Roman"/>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959900d9">
    <w:name w:val="Hyperlink959900d9"/>
    <w:basedOn w:val="2712ce7d"/>
    <w:qFormat/>
    <w:uiPriority w:val="0"/>
    <w:rPr>
      <w:color w:val="0000FF"/>
      <w:u w:val="single"/>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styleId="c3bfe667">
    <w:name w:val="annotation referencec3bfe667"/>
    <w:qFormat/>
    <w:uiPriority w:val="99"/>
    <w:rPr>
      <w:sz w:val="21"/>
      <w:szCs w:val="21"/>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70847bc5">
    <w:name w:val="批注文字 字符170847bc5"/>
    <w:link w:val="2"/>
    <w:qFormat/>
    <w:uiPriority w:val="99"/>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0825b9a">
    <w:name w:val="批注框文本 字符a0825b9a"/>
    <w:link w:val="3"/>
    <w:qFormat/>
    <w:uiPriority w:val="0"/>
    <w:rPr>
      <w:rFonts w:ascii="Calibri" w:hAnsi="Calibri"/>
      <w:kern w:val="2"/>
      <w:sz w:val="18"/>
      <w:szCs w:val="18"/>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cbfd73c3">
    <w:name w:val="页脚 字符cbfd73c3"/>
    <w:link w:val="4"/>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ac6c973c">
    <w:name w:val="页眉 字符1ac6c973c"/>
    <w:link w:val="5"/>
    <w:semiHidden/>
    <w:qFormat/>
    <w:locked/>
    <w:uiPriority w:val="0"/>
    <w:rPr>
      <w:rFonts w:ascii="Calibri" w:hAnsi="Calibri" w:eastAsia="宋体"/>
      <w:sz w:val="18"/>
      <w:szCs w:val="18"/>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9a0234f4">
    <w:name w:val="批注主题 字符9a0234f4"/>
    <w:link w:val="6"/>
    <w:qFormat/>
    <w:uiPriority w:val="0"/>
    <w:rPr>
      <w:rFonts w:ascii="Calibri" w:hAnsi="Calibri"/>
      <w:b/>
      <w:bCs/>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56b6019">
    <w:name w:val="页眉 字符356b6019"/>
    <w:qFormat/>
    <w:uiPriority w:val="99"/>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character" w:customStyle="1" w:styleId="3a260760">
    <w:name w:val="批注文字 字符3a260760"/>
    <w:qFormat/>
    <w:uiPriority w:val="0"/>
    <w:rPr>
      <w:rFonts w:ascii="Calibri" w:hAnsi="Calibri"/>
      <w:kern w:val="2"/>
      <w:sz w:val="21"/>
      <w:szCs w:val="22"/>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99e10242">
    <w:name w:val="_Style 1899e10242"/>
    <w:unhideWhenUsed/>
    <w:qFormat/>
    <w:uiPriority w:val="99"/>
    <w:rPr>
      <w:rFonts w:ascii="Calibri" w:hAnsi="Calibri" w:eastAsia="宋体" w:cs="Times New Roman"/>
      <w:kern w:val="2"/>
      <w:sz w:val="21"/>
      <w:szCs w:val="22"/>
      <w:lang w:val="en-US" w:eastAsia="zh-CN" w:bidi="ar-SA"/>
    </w:rPr>
  </w:style>
  <w:style xmlns:r="http://schemas.openxmlformats.org/officeDocument/2006/relationships" xmlns:wpsCustomData="http://www.wps.cn/officeDocument/2013/wpsCustomData" xmlns:mc="http://schemas.openxmlformats.org/markup-compatibility/2006" xmlns:v="urn:schemas-microsoft-com:vml" xmlns:w10="urn:schemas-microsoft-com:office:word" xmlns:sl="http://schemas.openxmlformats.org/schemaLibrary/2006/main" xmlns:w14="http://schemas.microsoft.com/office/word/2010/wordml" xmlns:m="http://schemas.openxmlformats.org/officeDocument/2006/math" xmlns:o="urn:schemas-microsoft-com:office:office" w:type="paragraph" w:customStyle="1" w:styleId="aaa03127">
    <w:name w:val="彩色底纹 - 强调文字颜色 11aaa03127"/>
    <w:qFormat/>
    <w:uiPriority w:val="71"/>
    <w:rPr>
      <w:rFonts w:ascii="Calibri" w:hAnsi="Calibri" w:eastAsia="宋体" w:cs="Times New Roman"/>
      <w:kern w:val="2"/>
      <w:sz w:val="21"/>
      <w:szCs w:val="22"/>
      <w:lang w:val="en-US" w:eastAsia="zh-CN" w:bidi="ar-SA"/>
    </w:rPr>
  </w:style>
</w:styles>
</file>

<file path=word/_rels/document.xml.rels><?xml version="1.0" encoding="UTF-8" standalone="yes"?><Relationships xmlns="http://schemas.openxmlformats.org/package/2006/relationships"><Relationship Id="rId1" Target="settings.xml" Type="http://schemas.openxmlformats.org/officeDocument/2006/relationships/settings"/><Relationship Id="rId2" Target="styles.xml" Type="http://schemas.openxmlformats.org/officeDocument/2006/relationships/styles"/><Relationship Id="rId3" Target="numbering.xml" Type="http://schemas.openxmlformats.org/officeDocument/2006/relationships/numbering"/><Relationship Id="rId4" Target="media/image1.png" Type="http://schemas.openxmlformats.org/officeDocument/2006/relationships/image"/><Relationship Id="rId5" Target="http://www.hxb.com.cn/" TargetMode="External" Type="http://schemas.openxmlformats.org/officeDocument/2006/relationships/hyperlink"/></Relationships>
</file>

<file path=docProps/app.xml><?xml version="1.0" encoding="utf-8"?>
<Properties xmlns="http://schemas.openxmlformats.org/officeDocument/2006/extended-properties">
  <Application>Apache POI</Application>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2025-07-24T07:14:05Z</dcterms:created>
  <dc:creator>Apache POI</dc:creator>
</cp:coreProperties>
</file>