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napToGrid w:val="0"/>
        <w:spacing w:line="400" w:lineRule="exact"/>
        <w:ind w:firstLine="0"/>
        <w:jc w:val="center"/>
        <w:rPr>
          <w:rFonts w:hint="eastAsia" w:eastAsia="黑体"/>
          <w:bCs/>
          <w:kern w:val="2"/>
          <w:sz w:val="36"/>
          <w:szCs w:val="36"/>
        </w:rPr>
      </w:pPr>
      <w:bookmarkStart w:id="4" w:name="_GoBack"/>
      <w:bookmarkEnd w:id="4"/>
      <w:r>
        <w:rPr>
          <w:rFonts w:hint="eastAsia" w:eastAsia="黑体"/>
          <w:bCs/>
          <w:kern w:val="2"/>
          <w:sz w:val="36"/>
          <w:szCs w:val="36"/>
        </w:rPr>
        <w:t>华夏理财固定收益纯债型日日开理财产品</w:t>
      </w:r>
      <w:r>
        <w:rPr>
          <w:rFonts w:hint="eastAsia" w:eastAsia="黑体"/>
          <w:bCs/>
          <w:kern w:val="2"/>
          <w:sz w:val="36"/>
          <w:szCs w:val="36"/>
          <w:lang w:val="en-US" w:eastAsia="zh-CN"/>
        </w:rPr>
        <w:t>1</w:t>
      </w:r>
      <w:r>
        <w:rPr>
          <w:rFonts w:hint="eastAsia" w:eastAsia="黑体"/>
          <w:bCs/>
          <w:kern w:val="2"/>
          <w:sz w:val="36"/>
          <w:szCs w:val="36"/>
        </w:rPr>
        <w:t>号</w:t>
      </w:r>
    </w:p>
    <w:p>
      <w:pPr>
        <w:pStyle w:val="6"/>
        <w:snapToGrid w:val="0"/>
        <w:spacing w:line="400" w:lineRule="exact"/>
        <w:ind w:firstLine="0"/>
        <w:jc w:val="center"/>
        <w:rPr>
          <w:rFonts w:eastAsia="黑体"/>
          <w:bCs/>
          <w:kern w:val="2"/>
          <w:sz w:val="36"/>
          <w:szCs w:val="36"/>
        </w:rPr>
      </w:pPr>
      <w:r>
        <w:rPr>
          <w:rFonts w:hint="eastAsia" w:eastAsia="黑体"/>
          <w:bCs/>
          <w:kern w:val="2"/>
          <w:sz w:val="36"/>
          <w:szCs w:val="36"/>
        </w:rPr>
        <w:t>说明书</w:t>
      </w:r>
    </w:p>
    <w:tbl>
      <w:tblPr>
        <w:tblStyle w:val="11"/>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一、理财非存款，产品有风险，投资须谨慎。</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二、本理财产品为非保本浮动收益净值型理财产品，华夏理财有限责任公司（以下简称“华夏理财”）不保证理财产品本金及理财收益。在本理财产品存续期间，除本产品说明书约定的特殊情况外，投资者可在规定时间内按照本产品说明书中约定的申购、赎回条款申购或赎回本理财产品。投资者投资本理财产品所面临的风险包括本金及理财收益风险、信用风险、市场风险、流动性风险、投资风险、汇率风险、法律及政策风险、理财产品不成立风险、提前终止风险、延期风险、信息传递风险、关联关系风险、拟投资市场及资产风险和其他风险等，请投资者详细阅读本产品说明书第八部分风险揭示内容。投资者应在对风险有充分认识基础上基于自身的独立判断谨慎投资。</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华夏理财郑重提示：在购买理财产品前，投资者应仔细阅读本说明书，确保自己完全明白本项投资的性质和所涉及的风险，详细了解和审慎评估本理财产品的资金投资方向、风险类型等基本情况，在慎重考虑后自行决定购买与自身风险承受能力和资产管理需求匹配的理财产品。本理财产品的业绩比较基准</w:t>
            </w:r>
            <w:r>
              <w:rPr>
                <w:rFonts w:hint="eastAsia" w:ascii="黑体" w:hAnsi="黑体" w:eastAsia="黑体"/>
                <w:b/>
                <w:sz w:val="28"/>
                <w:szCs w:val="28"/>
                <w:u w:val="single"/>
                <w:lang w:eastAsia="zh-CN"/>
              </w:rPr>
              <w:t>（</w:t>
            </w:r>
            <w:r>
              <w:rPr>
                <w:rFonts w:hint="eastAsia" w:ascii="黑体" w:hAnsi="黑体" w:eastAsia="黑体"/>
                <w:b/>
                <w:sz w:val="28"/>
                <w:szCs w:val="28"/>
                <w:u w:val="single"/>
              </w:rPr>
              <w:t>如有</w:t>
            </w:r>
            <w:r>
              <w:rPr>
                <w:rFonts w:hint="eastAsia" w:ascii="黑体" w:hAnsi="黑体" w:eastAsia="黑体"/>
                <w:b/>
                <w:sz w:val="28"/>
                <w:szCs w:val="28"/>
                <w:u w:val="single"/>
                <w:lang w:eastAsia="zh-CN"/>
              </w:rPr>
              <w:t>）</w:t>
            </w:r>
            <w:r>
              <w:rPr>
                <w:rFonts w:hint="eastAsia" w:ascii="黑体" w:hAnsi="黑体" w:eastAsia="黑体"/>
                <w:b/>
                <w:sz w:val="28"/>
                <w:szCs w:val="28"/>
                <w:u w:val="single"/>
              </w:rPr>
              <w:t>不是预期收益率，不代表产品的未来表现和实际收益，不构成管理人对产品收益的承诺，投资者所能获得的最终收益以管理人根据本理财产品的投资运作情况实际支付给投资者的收益为准。</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p>
            <w:pPr>
              <w:adjustRightInd w:val="0"/>
              <w:snapToGrid w:val="0"/>
              <w:spacing w:line="400" w:lineRule="exact"/>
              <w:ind w:left="343" w:right="189" w:rightChars="90"/>
              <w:rPr>
                <w:rFonts w:hint="eastAsia" w:ascii="黑体" w:hAnsi="黑体" w:eastAsia="黑体"/>
                <w:b/>
                <w:sz w:val="28"/>
                <w:szCs w:val="28"/>
                <w:u w:val="single"/>
              </w:rPr>
            </w:pPr>
            <w:r>
              <w:rPr>
                <w:rFonts w:hint="eastAsia" w:ascii="黑体" w:hAnsi="黑体" w:eastAsia="黑体"/>
                <w:b/>
                <w:sz w:val="28"/>
                <w:szCs w:val="28"/>
                <w:u w:val="single"/>
              </w:rPr>
              <w:t>五、本说明书在法律许可的范围内由华夏理财方负责解释。</w:t>
            </w:r>
          </w:p>
        </w:tc>
      </w:tr>
    </w:tbl>
    <w:p>
      <w:pPr>
        <w:pStyle w:val="6"/>
        <w:adjustRightInd w:val="0"/>
        <w:snapToGrid w:val="0"/>
        <w:spacing w:line="400" w:lineRule="exact"/>
        <w:ind w:firstLine="0"/>
        <w:jc w:val="center"/>
        <w:rPr>
          <w:rFonts w:eastAsia="黑体"/>
          <w:bCs/>
          <w:kern w:val="2"/>
          <w:sz w:val="36"/>
          <w:szCs w:val="36"/>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1"/>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华夏理财固定收益纯债型日日开理财产品1号</w:t>
            </w:r>
          </w:p>
          <w:p>
            <w:pPr>
              <w:adjustRightInd w:val="0"/>
              <w:snapToGrid w:val="0"/>
              <w:spacing w:line="240" w:lineRule="atLeast"/>
              <w:jc w:val="center"/>
              <w:rPr>
                <w:rFonts w:ascii="仿宋" w:hAnsi="仿宋" w:eastAsia="仿宋"/>
                <w:b/>
                <w:bCs/>
                <w:szCs w:val="21"/>
              </w:rPr>
            </w:pPr>
            <w:r>
              <w:rPr>
                <w:rFonts w:hint="eastAsia" w:ascii="仿宋" w:hAnsi="仿宋" w:eastAsia="仿宋"/>
                <w:b/>
                <w:bCs/>
                <w:szCs w:val="21"/>
              </w:rPr>
              <w:t>A份额简称：“华夏理财纯债日开1号（同业存单及存款）A”</w:t>
            </w:r>
          </w:p>
          <w:p>
            <w:pPr>
              <w:adjustRightInd w:val="0"/>
              <w:snapToGrid w:val="0"/>
              <w:spacing w:line="240" w:lineRule="atLeast"/>
              <w:jc w:val="center"/>
              <w:rPr>
                <w:rFonts w:ascii="仿宋" w:hAnsi="仿宋" w:eastAsia="仿宋"/>
                <w:b/>
                <w:bCs/>
                <w:szCs w:val="21"/>
              </w:rPr>
            </w:pPr>
            <w:r>
              <w:rPr>
                <w:rFonts w:ascii="仿宋" w:hAnsi="仿宋" w:eastAsia="仿宋"/>
                <w:b/>
                <w:bCs/>
                <w:szCs w:val="21"/>
              </w:rPr>
              <w:t>D</w:t>
            </w:r>
            <w:r>
              <w:rPr>
                <w:rFonts w:hint="eastAsia" w:ascii="仿宋" w:hAnsi="仿宋" w:eastAsia="仿宋"/>
                <w:b/>
                <w:bCs/>
                <w:szCs w:val="21"/>
              </w:rPr>
              <w:t>份额简称：“华夏理财固收纯债日开1号（同业存单及存款）</w:t>
            </w:r>
            <w:r>
              <w:rPr>
                <w:rFonts w:ascii="仿宋" w:hAnsi="仿宋" w:eastAsia="仿宋"/>
                <w:b/>
                <w:bCs/>
                <w:szCs w:val="21"/>
              </w:rPr>
              <w:t>D</w:t>
            </w:r>
            <w:r>
              <w:rPr>
                <w:rFonts w:hint="eastAsia" w:ascii="仿宋" w:hAnsi="仿宋" w:eastAsia="仿宋"/>
                <w:b/>
                <w:bCs/>
                <w:szCs w:val="21"/>
              </w:rPr>
              <w:t>”</w:t>
            </w:r>
          </w:p>
          <w:p>
            <w:pPr>
              <w:adjustRightInd w:val="0"/>
              <w:snapToGrid w:val="0"/>
              <w:spacing w:line="240" w:lineRule="atLeast"/>
              <w:jc w:val="center"/>
              <w:rPr>
                <w:rFonts w:ascii="仿宋" w:hAnsi="仿宋" w:eastAsia="仿宋"/>
                <w:b/>
                <w:bCs/>
                <w:szCs w:val="21"/>
              </w:rPr>
            </w:pPr>
            <w:r>
              <w:rPr>
                <w:rFonts w:ascii="仿宋" w:hAnsi="仿宋" w:eastAsia="仿宋"/>
                <w:b/>
                <w:bCs/>
                <w:szCs w:val="21"/>
              </w:rPr>
              <w:t>G</w:t>
            </w:r>
            <w:r>
              <w:rPr>
                <w:rFonts w:hint="eastAsia" w:ascii="仿宋" w:hAnsi="仿宋" w:eastAsia="仿宋"/>
                <w:b/>
                <w:bCs/>
                <w:szCs w:val="21"/>
              </w:rPr>
              <w:t>份额简称：“华夏理财纯债日开1号（同业存单及存款）</w:t>
            </w:r>
            <w:r>
              <w:rPr>
                <w:rFonts w:ascii="仿宋" w:hAnsi="仿宋" w:eastAsia="仿宋"/>
                <w:b/>
                <w:bCs/>
                <w:szCs w:val="21"/>
              </w:rPr>
              <w:t>G</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ascii="仿宋" w:hAnsi="仿宋" w:eastAsia="仿宋"/>
                <w:b/>
                <w:bCs/>
                <w:szCs w:val="21"/>
              </w:rPr>
              <w:t>H</w:t>
            </w:r>
            <w:r>
              <w:rPr>
                <w:rFonts w:hint="eastAsia" w:ascii="仿宋" w:hAnsi="仿宋" w:eastAsia="仿宋"/>
                <w:b/>
                <w:bCs/>
                <w:szCs w:val="21"/>
              </w:rPr>
              <w:t>份额简称：“华夏理财纯债日开1号（同业存单及存款）</w:t>
            </w:r>
            <w:r>
              <w:rPr>
                <w:rFonts w:ascii="仿宋" w:hAnsi="仿宋" w:eastAsia="仿宋"/>
                <w:b/>
                <w:bCs/>
                <w:szCs w:val="21"/>
              </w:rPr>
              <w:t>H</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rPr>
            </w:pPr>
            <w:r>
              <w:rPr>
                <w:rFonts w:hint="eastAsia" w:ascii="仿宋" w:hAnsi="仿宋" w:eastAsia="仿宋"/>
                <w:b/>
                <w:bCs/>
                <w:szCs w:val="21"/>
                <w:lang w:val="en-US" w:eastAsia="zh-CN"/>
              </w:rPr>
              <w:t>K</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K</w:t>
            </w:r>
            <w:r>
              <w:rPr>
                <w:rFonts w:hint="eastAsia" w:ascii="仿宋" w:hAnsi="仿宋" w:eastAsia="仿宋"/>
                <w:b/>
                <w:bCs/>
                <w:szCs w:val="21"/>
              </w:rPr>
              <w:t>”</w:t>
            </w:r>
          </w:p>
          <w:p>
            <w:pPr>
              <w:adjustRightInd w:val="0"/>
              <w:snapToGrid w:val="0"/>
              <w:spacing w:line="240" w:lineRule="atLeast"/>
              <w:jc w:val="center"/>
              <w:rPr>
                <w:rFonts w:hint="eastAsia" w:ascii="仿宋" w:hAnsi="仿宋" w:eastAsia="仿宋"/>
                <w:b/>
                <w:bCs/>
                <w:szCs w:val="21"/>
                <w:lang w:val="en-US" w:eastAsia="zh-CN"/>
              </w:rPr>
            </w:pPr>
            <w:r>
              <w:rPr>
                <w:rFonts w:hint="eastAsia" w:ascii="仿宋" w:hAnsi="仿宋" w:eastAsia="仿宋"/>
                <w:b/>
                <w:bCs/>
                <w:szCs w:val="21"/>
                <w:lang w:val="en-US" w:eastAsia="zh-CN"/>
              </w:rPr>
              <w:t>Z</w:t>
            </w:r>
            <w:r>
              <w:rPr>
                <w:rFonts w:hint="eastAsia" w:ascii="仿宋" w:hAnsi="仿宋" w:eastAsia="仿宋"/>
                <w:b/>
                <w:bCs/>
                <w:szCs w:val="21"/>
              </w:rPr>
              <w:t>份额简称：“华夏理财纯债日开1号（同业存单及存款）</w:t>
            </w:r>
            <w:r>
              <w:rPr>
                <w:rFonts w:hint="eastAsia" w:ascii="仿宋" w:hAnsi="仿宋" w:eastAsia="仿宋"/>
                <w:b/>
                <w:bCs/>
                <w:szCs w:val="21"/>
                <w:lang w:val="en-US" w:eastAsia="zh-CN"/>
              </w:rPr>
              <w:t>Z</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highlight w:val="none"/>
              </w:rPr>
            </w:pPr>
            <w:r>
              <w:rPr>
                <w:rFonts w:ascii="仿宋" w:hAnsi="仿宋" w:eastAsia="仿宋"/>
                <w:bCs/>
                <w:szCs w:val="21"/>
              </w:rPr>
              <w:t>21112001</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A份额代码：</w:t>
            </w:r>
            <w:r>
              <w:rPr>
                <w:rFonts w:ascii="仿宋" w:hAnsi="仿宋" w:eastAsia="仿宋"/>
                <w:bCs/>
                <w:szCs w:val="21"/>
              </w:rPr>
              <w:t>21112001</w:t>
            </w:r>
            <w:r>
              <w:rPr>
                <w:rFonts w:hint="eastAsia" w:ascii="仿宋" w:hAnsi="仿宋" w:eastAsia="仿宋"/>
                <w:bCs/>
                <w:szCs w:val="21"/>
              </w:rPr>
              <w:t>A</w:t>
            </w:r>
          </w:p>
          <w:p>
            <w:pPr>
              <w:adjustRightInd w:val="0"/>
              <w:snapToGrid w:val="0"/>
              <w:spacing w:line="240" w:lineRule="atLeast"/>
              <w:jc w:val="center"/>
              <w:rPr>
                <w:rFonts w:ascii="仿宋" w:hAnsi="仿宋" w:eastAsia="仿宋"/>
                <w:bCs/>
                <w:szCs w:val="21"/>
              </w:rPr>
            </w:pPr>
            <w:r>
              <w:rPr>
                <w:rFonts w:ascii="仿宋" w:hAnsi="仿宋" w:eastAsia="仿宋"/>
                <w:bCs/>
                <w:szCs w:val="21"/>
              </w:rPr>
              <w:t>D</w:t>
            </w:r>
            <w:r>
              <w:rPr>
                <w:rFonts w:hint="eastAsia" w:ascii="仿宋" w:hAnsi="仿宋" w:eastAsia="仿宋"/>
                <w:bCs/>
                <w:szCs w:val="21"/>
              </w:rPr>
              <w:t>份额代码：</w:t>
            </w:r>
            <w:r>
              <w:rPr>
                <w:rFonts w:ascii="仿宋" w:hAnsi="仿宋" w:eastAsia="仿宋"/>
                <w:bCs/>
                <w:szCs w:val="21"/>
              </w:rPr>
              <w:t>21112001D</w:t>
            </w:r>
            <w:r>
              <w:rPr>
                <w:rFonts w:hint="eastAsia" w:ascii="仿宋" w:hAnsi="仿宋" w:eastAsia="仿宋"/>
                <w:bCs/>
                <w:szCs w:val="21"/>
              </w:rPr>
              <w:t>（招商银行销售代码：HX0</w:t>
            </w:r>
            <w:r>
              <w:rPr>
                <w:rFonts w:ascii="仿宋" w:hAnsi="仿宋" w:eastAsia="仿宋"/>
                <w:bCs/>
                <w:szCs w:val="21"/>
              </w:rPr>
              <w:t>3</w:t>
            </w:r>
            <w:r>
              <w:rPr>
                <w:rFonts w:hint="eastAsia" w:ascii="仿宋" w:hAnsi="仿宋" w:eastAsia="仿宋"/>
                <w:bCs/>
                <w:szCs w:val="21"/>
              </w:rPr>
              <w:t>020</w:t>
            </w:r>
            <w:r>
              <w:rPr>
                <w:rFonts w:ascii="仿宋" w:hAnsi="仿宋" w:eastAsia="仿宋"/>
                <w:bCs/>
                <w:szCs w:val="21"/>
              </w:rPr>
              <w:t>1</w:t>
            </w:r>
            <w:r>
              <w:rPr>
                <w:rFonts w:hint="eastAsia" w:ascii="仿宋" w:hAnsi="仿宋" w:eastAsia="仿宋"/>
                <w:bCs/>
                <w:szCs w:val="21"/>
              </w:rPr>
              <w:t>）</w:t>
            </w:r>
          </w:p>
          <w:p>
            <w:pPr>
              <w:adjustRightInd w:val="0"/>
              <w:snapToGrid w:val="0"/>
              <w:spacing w:line="240" w:lineRule="atLeast"/>
              <w:jc w:val="center"/>
              <w:rPr>
                <w:rFonts w:ascii="仿宋" w:hAnsi="仿宋" w:eastAsia="仿宋"/>
                <w:bCs/>
                <w:szCs w:val="21"/>
              </w:rPr>
            </w:pPr>
            <w:r>
              <w:rPr>
                <w:rFonts w:ascii="仿宋" w:hAnsi="仿宋" w:eastAsia="仿宋"/>
                <w:bCs/>
                <w:szCs w:val="21"/>
              </w:rPr>
              <w:t>G</w:t>
            </w:r>
            <w:r>
              <w:rPr>
                <w:rFonts w:hint="eastAsia" w:ascii="仿宋" w:hAnsi="仿宋" w:eastAsia="仿宋"/>
                <w:bCs/>
                <w:szCs w:val="21"/>
              </w:rPr>
              <w:t>份额代码：</w:t>
            </w:r>
            <w:r>
              <w:rPr>
                <w:rFonts w:ascii="仿宋" w:hAnsi="仿宋" w:eastAsia="仿宋"/>
                <w:bCs/>
                <w:szCs w:val="21"/>
              </w:rPr>
              <w:t>21112001G</w:t>
            </w:r>
          </w:p>
          <w:p>
            <w:pPr>
              <w:adjustRightInd w:val="0"/>
              <w:snapToGrid w:val="0"/>
              <w:spacing w:line="240" w:lineRule="atLeast"/>
              <w:jc w:val="center"/>
              <w:rPr>
                <w:rFonts w:ascii="仿宋" w:hAnsi="仿宋" w:eastAsia="仿宋"/>
                <w:bCs/>
                <w:szCs w:val="21"/>
              </w:rPr>
            </w:pPr>
            <w:r>
              <w:rPr>
                <w:rFonts w:ascii="仿宋" w:hAnsi="仿宋" w:eastAsia="仿宋"/>
                <w:bCs/>
                <w:szCs w:val="21"/>
              </w:rPr>
              <w:t>H</w:t>
            </w:r>
            <w:r>
              <w:rPr>
                <w:rFonts w:hint="eastAsia" w:ascii="仿宋" w:hAnsi="仿宋" w:eastAsia="仿宋"/>
                <w:bCs/>
                <w:szCs w:val="21"/>
              </w:rPr>
              <w:t>份额代码：</w:t>
            </w:r>
            <w:r>
              <w:rPr>
                <w:rFonts w:ascii="仿宋" w:hAnsi="仿宋" w:eastAsia="仿宋"/>
                <w:bCs/>
                <w:szCs w:val="21"/>
              </w:rPr>
              <w:t>21112001H</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K</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K</w:t>
            </w:r>
          </w:p>
          <w:p>
            <w:pPr>
              <w:adjustRightInd w:val="0"/>
              <w:snapToGrid w:val="0"/>
              <w:spacing w:line="240" w:lineRule="atLeast"/>
              <w:jc w:val="center"/>
              <w:rPr>
                <w:rFonts w:hint="eastAsia" w:ascii="仿宋" w:hAnsi="仿宋" w:eastAsia="仿宋"/>
                <w:bCs/>
                <w:szCs w:val="21"/>
                <w:lang w:val="en-US" w:eastAsia="zh-CN"/>
              </w:rPr>
            </w:pPr>
            <w:r>
              <w:rPr>
                <w:rFonts w:hint="eastAsia" w:ascii="仿宋" w:hAnsi="仿宋" w:eastAsia="仿宋"/>
                <w:bCs/>
                <w:szCs w:val="21"/>
                <w:lang w:val="en-US" w:eastAsia="zh-CN"/>
              </w:rPr>
              <w:t>Z</w:t>
            </w:r>
            <w:r>
              <w:rPr>
                <w:rFonts w:hint="eastAsia" w:ascii="仿宋" w:hAnsi="仿宋" w:eastAsia="仿宋"/>
                <w:bCs/>
                <w:szCs w:val="21"/>
              </w:rPr>
              <w:t>份额代码：</w:t>
            </w:r>
            <w:r>
              <w:rPr>
                <w:rFonts w:ascii="仿宋" w:hAnsi="仿宋" w:eastAsia="仿宋"/>
                <w:bCs/>
                <w:szCs w:val="21"/>
              </w:rPr>
              <w:t>21112001</w:t>
            </w:r>
            <w:r>
              <w:rPr>
                <w:rFonts w:hint="eastAsia" w:ascii="仿宋" w:hAnsi="仿宋" w:eastAsia="仿宋"/>
                <w:bCs/>
                <w:szCs w:val="21"/>
                <w:lang w:val="en-US" w:eastAsia="zh-CN"/>
              </w:rPr>
              <w:t>Z</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Z7003921000744</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w:t>
            </w:r>
            <w:r>
              <w:rPr>
                <w:rFonts w:hint="eastAsia" w:ascii="仿宋" w:hAnsi="仿宋" w:eastAsia="仿宋"/>
                <w:bCs/>
                <w:szCs w:val="21"/>
                <w:u w:val="single"/>
                <w:lang w:val="en-US" w:eastAsia="zh-CN"/>
              </w:rPr>
              <w:t>1</w:t>
            </w:r>
            <w:r>
              <w:rPr>
                <w:rFonts w:hint="eastAsia" w:ascii="仿宋" w:hAnsi="仿宋" w:eastAsia="仿宋"/>
                <w:bCs/>
                <w:szCs w:val="21"/>
                <w:u w:val="single"/>
              </w:rPr>
              <w:t xml:space="preserve">级（低风险） </w:t>
            </w:r>
            <w:r>
              <w:rPr>
                <w:rFonts w:ascii="仿宋" w:hAnsi="仿宋" w:eastAsia="仿宋"/>
                <w:bCs/>
                <w:szCs w:val="21"/>
              </w:rPr>
              <w:t>理财产品。</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A</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个人</w:t>
            </w:r>
            <w:r>
              <w:rPr>
                <w:rFonts w:ascii="仿宋" w:hAnsi="仿宋" w:eastAsia="仿宋"/>
                <w:bCs/>
                <w:szCs w:val="21"/>
              </w:rPr>
              <w:t>投资者销售</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w:t>
            </w:r>
            <w:r>
              <w:rPr>
                <w:rFonts w:ascii="仿宋" w:hAnsi="仿宋" w:eastAsia="仿宋"/>
                <w:bCs/>
                <w:szCs w:val="21"/>
              </w:rPr>
              <w:t>H</w:t>
            </w:r>
            <w:r>
              <w:rPr>
                <w:rFonts w:hint="eastAsia" w:ascii="仿宋" w:hAnsi="仿宋" w:eastAsia="仿宋"/>
                <w:bCs/>
                <w:szCs w:val="21"/>
              </w:rPr>
              <w:t>份额</w:t>
            </w:r>
            <w:r>
              <w:rPr>
                <w:rFonts w:ascii="仿宋" w:hAnsi="仿宋" w:eastAsia="仿宋"/>
                <w:bCs/>
                <w:szCs w:val="21"/>
              </w:rPr>
              <w:t>在华夏银行渠道仅面向</w:t>
            </w:r>
            <w:r>
              <w:rPr>
                <w:rFonts w:hint="eastAsia" w:ascii="仿宋" w:hAnsi="仿宋" w:eastAsia="仿宋"/>
                <w:bCs/>
                <w:szCs w:val="21"/>
              </w:rPr>
              <w:t>机构</w:t>
            </w:r>
            <w:r>
              <w:rPr>
                <w:rFonts w:ascii="仿宋" w:hAnsi="仿宋" w:eastAsia="仿宋"/>
                <w:bCs/>
                <w:szCs w:val="21"/>
              </w:rPr>
              <w:t>投资者销售</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lang w:eastAsia="zh-CN"/>
              </w:rPr>
              <w:t>【</w:t>
            </w:r>
            <w:r>
              <w:rPr>
                <w:rFonts w:hint="eastAsia" w:ascii="仿宋" w:hAnsi="仿宋" w:eastAsia="仿宋"/>
                <w:bCs/>
                <w:color w:val="000000"/>
                <w:szCs w:val="21"/>
                <w:u w:val="single"/>
              </w:rPr>
              <w:t>CR1（谨慎型）、CR2（稳健型）、CR3（平衡型）、CR4（进取型）、CR5（激进型）</w:t>
            </w:r>
            <w:r>
              <w:rPr>
                <w:rFonts w:hint="eastAsia" w:ascii="仿宋" w:hAnsi="仿宋" w:eastAsia="仿宋"/>
                <w:bCs/>
                <w:szCs w:val="21"/>
                <w:lang w:eastAsia="zh-CN"/>
              </w:rPr>
              <w:t>】</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p>
            <w:pPr>
              <w:adjustRightInd w:val="0"/>
              <w:snapToGrid w:val="0"/>
              <w:spacing w:line="240" w:lineRule="atLeast"/>
              <w:ind w:firstLine="420" w:firstLineChars="200"/>
              <w:rPr>
                <w:rFonts w:hint="eastAsia" w:ascii="仿宋" w:hAnsi="仿宋" w:eastAsia="仿宋"/>
                <w:b/>
                <w:bCs/>
                <w:color w:val="000000"/>
                <w:szCs w:val="21"/>
              </w:rPr>
            </w:pPr>
            <w:r>
              <w:rPr>
                <w:rFonts w:hint="eastAsia" w:ascii="仿宋" w:hAnsi="仿宋" w:eastAsia="仿宋"/>
                <w:b w:val="0"/>
                <w:bCs w:val="0"/>
                <w:color w:val="000000"/>
                <w:szCs w:val="21"/>
              </w:rPr>
              <w:t>如影响风险承受能力的因素发生变化，请及时完成风险承受能力评估。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cs="Cambria"/>
                <w:bCs/>
                <w:szCs w:val="21"/>
              </w:rPr>
              <w:t>A份额：业绩基准为</w:t>
            </w:r>
            <w:r>
              <w:rPr>
                <w:rFonts w:hint="eastAsia" w:ascii="仿宋" w:hAnsi="仿宋" w:eastAsia="仿宋" w:cs="Cambria"/>
                <w:bCs/>
                <w:szCs w:val="21"/>
                <w:lang w:val="en-US" w:eastAsia="zh-CN"/>
              </w:rPr>
              <w:t>1.40%-2.00%</w:t>
            </w:r>
            <w:r>
              <w:rPr>
                <w:rFonts w:hint="eastAsia" w:ascii="仿宋" w:hAnsi="仿宋" w:eastAsia="仿宋" w:cs="Cambria"/>
                <w:bCs/>
                <w:szCs w:val="21"/>
              </w:rPr>
              <w:t>（年化）；</w:t>
            </w:r>
            <w:r>
              <w:rPr>
                <w:rFonts w:ascii="仿宋" w:hAnsi="仿宋" w:eastAsia="仿宋" w:cs="Cambria"/>
                <w:bCs/>
                <w:szCs w:val="21"/>
              </w:rPr>
              <w:t>D</w:t>
            </w:r>
            <w:r>
              <w:rPr>
                <w:rFonts w:hint="eastAsia" w:ascii="仿宋" w:hAnsi="仿宋" w:eastAsia="仿宋" w:cs="Cambria"/>
                <w:bCs/>
                <w:szCs w:val="21"/>
              </w:rPr>
              <w:t>份额：业绩基准为</w:t>
            </w:r>
            <w:r>
              <w:rPr>
                <w:rFonts w:hint="eastAsia" w:ascii="仿宋" w:hAnsi="仿宋" w:eastAsia="仿宋" w:cs="Cambria"/>
                <w:bCs/>
                <w:szCs w:val="21"/>
                <w:lang w:val="en-US" w:eastAsia="zh-CN"/>
              </w:rPr>
              <w:t>1.42%-2.02%</w:t>
            </w:r>
            <w:r>
              <w:rPr>
                <w:rFonts w:hint="eastAsia" w:ascii="仿宋" w:hAnsi="仿宋" w:eastAsia="仿宋" w:cs="Cambria"/>
                <w:bCs/>
                <w:szCs w:val="21"/>
              </w:rPr>
              <w:t>（年化）；</w:t>
            </w:r>
            <w:r>
              <w:rPr>
                <w:rFonts w:ascii="仿宋" w:hAnsi="仿宋" w:eastAsia="仿宋" w:cs="Cambria"/>
                <w:bCs/>
                <w:szCs w:val="21"/>
              </w:rPr>
              <w:t>G</w:t>
            </w:r>
            <w:r>
              <w:rPr>
                <w:rFonts w:hint="eastAsia" w:ascii="仿宋" w:hAnsi="仿宋" w:eastAsia="仿宋" w:cs="Cambria"/>
                <w:bCs/>
                <w:szCs w:val="21"/>
              </w:rPr>
              <w:t>份额：业绩基准为</w:t>
            </w:r>
            <w:r>
              <w:rPr>
                <w:rFonts w:hint="eastAsia" w:ascii="仿宋" w:hAnsi="仿宋" w:eastAsia="仿宋" w:cs="Cambria"/>
                <w:bCs/>
                <w:szCs w:val="21"/>
                <w:lang w:val="en-US" w:eastAsia="zh-CN"/>
              </w:rPr>
              <w:t>1.33%-1.93%</w:t>
            </w:r>
            <w:r>
              <w:rPr>
                <w:rFonts w:hint="eastAsia" w:ascii="仿宋" w:hAnsi="仿宋" w:eastAsia="仿宋" w:cs="Cambria"/>
                <w:bCs/>
                <w:szCs w:val="21"/>
              </w:rPr>
              <w:t>（年化）；</w:t>
            </w:r>
            <w:r>
              <w:rPr>
                <w:rFonts w:ascii="仿宋" w:hAnsi="仿宋" w:eastAsia="仿宋" w:cs="Cambria"/>
                <w:bCs/>
                <w:szCs w:val="21"/>
              </w:rPr>
              <w:t>H</w:t>
            </w:r>
            <w:r>
              <w:rPr>
                <w:rFonts w:hint="eastAsia" w:ascii="仿宋" w:hAnsi="仿宋" w:eastAsia="仿宋" w:cs="Cambria"/>
                <w:bCs/>
                <w:szCs w:val="21"/>
              </w:rPr>
              <w:t>份额：业绩基准为</w:t>
            </w:r>
            <w:r>
              <w:rPr>
                <w:rFonts w:hint="eastAsia" w:ascii="仿宋" w:hAnsi="仿宋" w:eastAsia="仿宋" w:cs="Cambria"/>
                <w:bCs/>
                <w:szCs w:val="21"/>
                <w:lang w:val="en-US" w:eastAsia="zh-CN"/>
              </w:rPr>
              <w:t>1.40%-2.00%</w:t>
            </w:r>
            <w:r>
              <w:rPr>
                <w:rFonts w:hint="eastAsia" w:ascii="仿宋" w:hAnsi="仿宋" w:eastAsia="仿宋" w:cs="Cambria"/>
                <w:bCs/>
                <w:szCs w:val="21"/>
              </w:rPr>
              <w:t>（年化）；</w:t>
            </w:r>
            <w:r>
              <w:rPr>
                <w:rFonts w:hint="eastAsia" w:ascii="仿宋" w:hAnsi="仿宋" w:eastAsia="仿宋" w:cs="Cambria"/>
                <w:bCs/>
                <w:szCs w:val="21"/>
                <w:lang w:val="en-US" w:eastAsia="zh-CN"/>
              </w:rPr>
              <w:t>K</w:t>
            </w:r>
            <w:r>
              <w:rPr>
                <w:rFonts w:hint="eastAsia" w:ascii="仿宋" w:hAnsi="仿宋" w:eastAsia="仿宋" w:cs="Cambria"/>
                <w:bCs/>
                <w:szCs w:val="21"/>
              </w:rPr>
              <w:t>份额：业绩基准为</w:t>
            </w:r>
            <w:r>
              <w:rPr>
                <w:rFonts w:hint="eastAsia" w:ascii="仿宋" w:hAnsi="仿宋" w:eastAsia="仿宋" w:cs="Cambria"/>
                <w:bCs/>
                <w:szCs w:val="21"/>
                <w:lang w:val="en-US" w:eastAsia="zh-CN"/>
              </w:rPr>
              <w:t>1.47%-2.07%</w:t>
            </w:r>
            <w:r>
              <w:rPr>
                <w:rFonts w:hint="eastAsia" w:ascii="仿宋" w:hAnsi="仿宋" w:eastAsia="仿宋" w:cs="Cambria"/>
                <w:bCs/>
                <w:szCs w:val="21"/>
              </w:rPr>
              <w:t>（年化）；</w:t>
            </w:r>
            <w:r>
              <w:rPr>
                <w:rFonts w:hint="eastAsia" w:ascii="仿宋" w:hAnsi="仿宋" w:eastAsia="仿宋" w:cs="Cambria"/>
                <w:bCs/>
                <w:szCs w:val="21"/>
                <w:lang w:val="en-US" w:eastAsia="zh-CN"/>
              </w:rPr>
              <w:t>Z</w:t>
            </w:r>
            <w:r>
              <w:rPr>
                <w:rFonts w:hint="eastAsia" w:ascii="仿宋" w:hAnsi="仿宋" w:eastAsia="仿宋" w:cs="Cambria"/>
                <w:bCs/>
                <w:szCs w:val="21"/>
              </w:rPr>
              <w:t>份额：业绩基准为</w:t>
            </w:r>
            <w:r>
              <w:rPr>
                <w:rFonts w:hint="eastAsia" w:ascii="仿宋" w:hAnsi="仿宋" w:eastAsia="仿宋" w:cs="Cambria"/>
                <w:bCs/>
                <w:szCs w:val="21"/>
                <w:lang w:val="en-US" w:eastAsia="zh-CN"/>
              </w:rPr>
              <w:t>1.57%-2.17%</w:t>
            </w:r>
            <w:r>
              <w:rPr>
                <w:rFonts w:hint="eastAsia" w:ascii="仿宋" w:hAnsi="仿宋" w:eastAsia="仿宋" w:cs="Cambria"/>
                <w:bCs/>
                <w:szCs w:val="21"/>
              </w:rPr>
              <w:t>（年化）。以产品投资同业存单及存款类资产仓位85%-100%，债券类资产仓位0-20%，组合杠杆率100%-105%为例，参考同业存单利率及定期存款利率、中债-信用债总财富指数，结合产品投资策略并扣除各项费用后，综合测算得出上述业绩基准。测算示例仅供参考，具体资产投资比例可根据各类资产的收益水平、流动性特征、信用风险等因素动态调整。</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业绩比较基准是管理人基于产品性质、投资策略、过往经验等因素对产品设定的投资目标，不是预期收益率，不代表产品的未来表现和实际收益，不构成对产品收益的承诺。</w:t>
            </w:r>
          </w:p>
          <w:p>
            <w:pPr>
              <w:adjustRightInd w:val="0"/>
              <w:snapToGrid w:val="0"/>
              <w:spacing w:line="240" w:lineRule="atLeast"/>
              <w:ind w:firstLine="420" w:firstLineChars="200"/>
              <w:rPr>
                <w:rFonts w:ascii="仿宋" w:hAnsi="仿宋" w:eastAsia="仿宋"/>
                <w:bCs/>
                <w:color w:val="000000"/>
                <w:szCs w:val="21"/>
              </w:rPr>
            </w:pPr>
            <w:r>
              <w:rPr>
                <w:rFonts w:hint="eastAsia" w:ascii="仿宋" w:hAnsi="仿宋" w:eastAsia="仿宋"/>
                <w:bCs/>
                <w:color w:val="000000"/>
                <w:szCs w:val="21"/>
              </w:rPr>
              <w:t>华夏理财有权根据市场情况及产品运作情况调整业绩比较基准，</w:t>
            </w:r>
            <w:r>
              <w:rPr>
                <w:rFonts w:hint="eastAsia" w:ascii="仿宋" w:hAnsi="仿宋" w:eastAsia="仿宋"/>
                <w:bCs/>
                <w:szCs w:val="21"/>
              </w:rPr>
              <w:t>并至少于新业绩比较基准启用前3个工作日公告</w:t>
            </w:r>
            <w:r>
              <w:rPr>
                <w:rFonts w:hint="eastAsia" w:ascii="仿宋" w:hAnsi="仿宋" w:eastAsia="仿宋"/>
                <w:bCs/>
                <w:color w:val="000000"/>
                <w:szCs w:val="21"/>
              </w:rPr>
              <w:t>。</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2022年7月18日</w:t>
            </w:r>
            <w:r>
              <w:rPr>
                <w:rFonts w:ascii="仿宋" w:hAnsi="仿宋" w:eastAsia="仿宋"/>
                <w:bCs/>
                <w:szCs w:val="21"/>
              </w:rPr>
              <w:t>－</w:t>
            </w:r>
            <w:r>
              <w:rPr>
                <w:rFonts w:hint="eastAsia" w:ascii="仿宋" w:hAnsi="仿宋" w:eastAsia="仿宋"/>
                <w:bCs/>
                <w:szCs w:val="21"/>
              </w:rPr>
              <w:t>2022年7月</w:t>
            </w:r>
            <w:r>
              <w:rPr>
                <w:rFonts w:ascii="仿宋" w:hAnsi="仿宋" w:eastAsia="仿宋"/>
                <w:bCs/>
                <w:szCs w:val="21"/>
              </w:rPr>
              <w:t>20</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（根据市场情况，华夏理财有权提前结束认购或调整相关日期，募集期最后一日认购截止时点如与华夏理财不一致则以各代销机构规定为准，其中华夏银行/华夏理财</w:t>
            </w:r>
            <w:r>
              <w:rPr>
                <w:rFonts w:ascii="仿宋" w:hAnsi="仿宋" w:eastAsia="仿宋"/>
                <w:bCs/>
                <w:szCs w:val="21"/>
              </w:rPr>
              <w:t>15</w:t>
            </w:r>
            <w:r>
              <w:rPr>
                <w:rFonts w:hint="eastAsia"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0（含）后不可认购。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2022年7月2</w:t>
            </w:r>
            <w:r>
              <w:rPr>
                <w:rFonts w:ascii="仿宋" w:hAnsi="仿宋" w:eastAsia="仿宋"/>
                <w:bCs/>
                <w:szCs w:val="21"/>
              </w:rPr>
              <w:t>1</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产品成立日-</w:t>
            </w:r>
            <w:r>
              <w:rPr>
                <w:rFonts w:hint="eastAsia"/>
              </w:rPr>
              <w:t xml:space="preserve"> </w:t>
            </w:r>
            <w:r>
              <w:rPr>
                <w:rFonts w:hint="eastAsia" w:ascii="仿宋" w:hAnsi="仿宋" w:eastAsia="仿宋"/>
                <w:bCs/>
                <w:szCs w:val="21"/>
              </w:rPr>
              <w:t>2022年8月21日</w:t>
            </w:r>
            <w:r>
              <w:rPr>
                <w:rFonts w:ascii="仿宋" w:hAnsi="仿宋" w:eastAsia="仿宋"/>
                <w:bCs/>
                <w:szCs w:val="21"/>
              </w:rPr>
              <w:t>（含）</w:t>
            </w:r>
            <w:r>
              <w:rPr>
                <w:rFonts w:hint="eastAsia" w:ascii="仿宋" w:hAnsi="仿宋" w:eastAsia="仿宋"/>
                <w:bCs/>
                <w:szCs w:val="21"/>
              </w:rPr>
              <w:t>,在以上封闭期</w:t>
            </w:r>
            <w:r>
              <w:rPr>
                <w:rFonts w:ascii="仿宋" w:hAnsi="仿宋" w:eastAsia="仿宋"/>
                <w:bCs/>
                <w:szCs w:val="21"/>
              </w:rPr>
              <w:t>内</w:t>
            </w:r>
            <w:r>
              <w:rPr>
                <w:rFonts w:hint="eastAsia" w:ascii="仿宋" w:hAnsi="仿宋" w:eastAsia="仿宋"/>
                <w:bCs/>
                <w:szCs w:val="21"/>
              </w:rPr>
              <w:t>投资者不能开展</w:t>
            </w:r>
            <w:r>
              <w:rPr>
                <w:rFonts w:ascii="仿宋" w:hAnsi="仿宋" w:eastAsia="仿宋"/>
                <w:bCs/>
                <w:szCs w:val="21"/>
              </w:rPr>
              <w:t>申购、赎回</w:t>
            </w:r>
            <w:r>
              <w:rPr>
                <w:rFonts w:hint="eastAsia" w:ascii="仿宋" w:hAnsi="仿宋" w:eastAsia="仿宋"/>
                <w:bCs/>
                <w:szCs w:val="21"/>
              </w:rPr>
              <w:t>交易。</w:t>
            </w:r>
          </w:p>
          <w:p>
            <w:pPr>
              <w:adjustRightInd w:val="0"/>
              <w:snapToGrid w:val="0"/>
              <w:spacing w:line="240" w:lineRule="atLeast"/>
              <w:ind w:firstLine="422" w:firstLineChars="200"/>
              <w:jc w:val="left"/>
              <w:rPr>
                <w:rFonts w:ascii="仿宋" w:hAnsi="仿宋" w:eastAsia="仿宋"/>
                <w:b/>
                <w:bCs/>
                <w:szCs w:val="21"/>
              </w:rPr>
            </w:pPr>
            <w:r>
              <w:rPr>
                <w:rFonts w:ascii="仿宋" w:hAnsi="仿宋" w:eastAsia="仿宋"/>
                <w:b/>
                <w:bCs/>
                <w:szCs w:val="21"/>
              </w:rPr>
              <w:t>封闭期内，除本产品说明书规定情形以外，华夏理财/代销机构不受理投资者任何形式的提前赎回申请。因投资者资金安排不合理，导致其购买与自身流动性需求不匹配的理财产品的责任和风险由投资者承担。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本产品</w:t>
            </w:r>
            <w:r>
              <w:rPr>
                <w:rFonts w:ascii="仿宋" w:hAnsi="仿宋" w:eastAsia="仿宋"/>
                <w:bCs/>
                <w:szCs w:val="21"/>
              </w:rPr>
              <w:t>计划发行规模下限为</w:t>
            </w:r>
            <w:r>
              <w:rPr>
                <w:rFonts w:hint="eastAsia" w:ascii="仿宋" w:hAnsi="仿宋" w:eastAsia="仿宋"/>
                <w:bCs/>
                <w:szCs w:val="21"/>
              </w:rPr>
              <w:t>1万元</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A份额：1元，以1元的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D</w:t>
            </w:r>
            <w:r>
              <w:rPr>
                <w:rFonts w:hint="eastAsia" w:ascii="仿宋" w:hAnsi="仿宋" w:eastAsia="仿宋"/>
                <w:bCs/>
                <w:szCs w:val="21"/>
              </w:rPr>
              <w:t>份额：1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G</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H</w:t>
            </w:r>
            <w:r>
              <w:rPr>
                <w:rFonts w:hint="eastAsia" w:ascii="仿宋" w:hAnsi="仿宋" w:eastAsia="仿宋"/>
                <w:bCs/>
                <w:szCs w:val="21"/>
              </w:rPr>
              <w:t>份额：1,</w:t>
            </w:r>
            <w:r>
              <w:rPr>
                <w:rFonts w:ascii="仿宋" w:hAnsi="仿宋" w:eastAsia="仿宋"/>
                <w:bCs/>
                <w:szCs w:val="21"/>
              </w:rPr>
              <w:t>000</w:t>
            </w:r>
            <w:r>
              <w:rPr>
                <w:rFonts w:hint="eastAsia" w:ascii="仿宋" w:hAnsi="仿宋" w:eastAsia="仿宋"/>
                <w:bCs/>
                <w:szCs w:val="21"/>
              </w:rPr>
              <w:t>万</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K</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lang w:val="en-US" w:eastAsia="zh-CN"/>
              </w:rPr>
              <w:t>Z</w:t>
            </w:r>
            <w:r>
              <w:rPr>
                <w:rFonts w:hint="eastAsia" w:ascii="仿宋" w:hAnsi="仿宋" w:eastAsia="仿宋"/>
                <w:bCs/>
                <w:szCs w:val="21"/>
              </w:rPr>
              <w:t>份额：1元，以1元的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最高持有限额要求：单一投资者持有本产品份额数不得超过本产品份额总数的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1</w:t>
            </w:r>
            <w:r>
              <w:rPr>
                <w:rFonts w:ascii="仿宋" w:hAnsi="仿宋" w:eastAsia="仿宋"/>
                <w:bCs/>
                <w:szCs w:val="21"/>
              </w:rPr>
              <w:t>元，以</w:t>
            </w:r>
            <w:r>
              <w:rPr>
                <w:rFonts w:hint="eastAsia" w:ascii="仿宋" w:hAnsi="仿宋" w:eastAsia="仿宋"/>
                <w:bCs/>
                <w:szCs w:val="21"/>
              </w:rPr>
              <w:t>1</w:t>
            </w:r>
            <w:r>
              <w:rPr>
                <w:rFonts w:ascii="仿宋" w:hAnsi="仿宋" w:eastAsia="仿宋"/>
                <w:bCs/>
                <w:szCs w:val="21"/>
              </w:rPr>
              <w:t>元的整数倍追加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份额净值的计算保留到小数点后</w:t>
            </w:r>
            <w:r>
              <w:rPr>
                <w:rFonts w:ascii="仿宋" w:hAnsi="仿宋" w:eastAsia="仿宋"/>
                <w:bCs/>
                <w:szCs w:val="21"/>
              </w:rPr>
              <w:t>4</w:t>
            </w:r>
            <w:r>
              <w:rPr>
                <w:rFonts w:hint="eastAsia" w:ascii="仿宋" w:hAnsi="仿宋" w:eastAsia="仿宋"/>
                <w:bCs/>
                <w:szCs w:val="21"/>
              </w:rPr>
              <w:t>位，小数点后第</w:t>
            </w:r>
            <w:r>
              <w:rPr>
                <w:rFonts w:ascii="仿宋" w:hAnsi="仿宋" w:eastAsia="仿宋"/>
                <w:bCs/>
                <w:szCs w:val="21"/>
              </w:rPr>
              <w:t>5</w:t>
            </w:r>
            <w:r>
              <w:rPr>
                <w:rFonts w:hint="eastAsia" w:ascii="仿宋" w:hAnsi="仿宋" w:eastAsia="仿宋"/>
                <w:bCs/>
                <w:szCs w:val="21"/>
              </w:rPr>
              <w:t>位四舍五入。</w:t>
            </w:r>
          </w:p>
          <w:p>
            <w:pPr>
              <w:adjustRightInd w:val="0"/>
              <w:snapToGrid w:val="0"/>
              <w:spacing w:line="240" w:lineRule="atLeast"/>
              <w:ind w:firstLine="420"/>
              <w:rPr>
                <w:rFonts w:hint="eastAsia" w:ascii="仿宋" w:hAnsi="仿宋" w:eastAsia="仿宋"/>
                <w:bCs/>
                <w:szCs w:val="21"/>
              </w:rPr>
            </w:pPr>
            <w:r>
              <w:rPr>
                <w:rFonts w:hint="eastAsia" w:ascii="仿宋" w:hAnsi="仿宋" w:eastAsia="仿宋"/>
                <w:b/>
                <w:bCs w:val="0"/>
                <w:szCs w:val="21"/>
                <w:lang w:val="en-GB"/>
              </w:rPr>
              <w:t>为保护投资者的利益，在发生大额赎回等情况时，经与产品托管人协商一致，华夏理财有权临时提高产品或单个份额的份额净值精度，并在上述事项对投资者利益不再产生重大影响时，恢复说明书约定的份额净值精度。投资者可在本说明书约定的信息披露渠道查询产品份额净值。</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申购份额＝申购金额/申购</w:t>
            </w:r>
            <w:r>
              <w:rPr>
                <w:rFonts w:hint="eastAsia" w:ascii="仿宋" w:hAnsi="仿宋" w:eastAsia="仿宋"/>
                <w:bCs/>
                <w:szCs w:val="21"/>
              </w:rPr>
              <w:t>申请日日终的产品份额净值,申购份额保留到小数点后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rPr>
              <w:t>工作日指上海证券交易所和深圳证券交易所的交易日，且同时为银行对外办理一般对公业务的工作日。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hint="eastAsia" w:ascii="仿宋" w:hAnsi="仿宋" w:eastAsia="仿宋"/>
                <w:bCs/>
                <w:szCs w:val="21"/>
              </w:rPr>
            </w:pPr>
            <w:r>
              <w:rPr>
                <w:rFonts w:hint="eastAsia" w:ascii="仿宋" w:hAnsi="仿宋" w:eastAsia="仿宋"/>
                <w:bCs/>
                <w:szCs w:val="21"/>
              </w:rPr>
              <w:t>交易日指上海证券交易所和深圳证券交易所的交易日。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开放期、</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开放期/开放日为产品封闭期后</w:t>
            </w:r>
            <w:r>
              <w:rPr>
                <w:rFonts w:ascii="仿宋" w:hAnsi="仿宋" w:eastAsia="仿宋"/>
                <w:bCs/>
                <w:szCs w:val="21"/>
              </w:rPr>
              <w:t>每个</w:t>
            </w:r>
            <w:r>
              <w:rPr>
                <w:rFonts w:hint="eastAsia" w:ascii="仿宋" w:hAnsi="仿宋" w:eastAsia="仿宋"/>
                <w:bCs/>
                <w:szCs w:val="21"/>
              </w:rPr>
              <w:t>工作日，开放期/开放日如遇非工作日则顺延至下一个工作日。</w:t>
            </w:r>
          </w:p>
          <w:tbl>
            <w:tblPr>
              <w:tblStyle w:val="11"/>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hint="eastAsia" w:ascii="仿宋" w:hAnsi="仿宋" w:eastAsia="仿宋"/>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0。投资者只能于开放日的开放时间内进行申购。投资者若在T日非开放时间提交申购，等同在下一开放时间内提交的申购申请，T日为开放日。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通过华夏银行/华夏理财购买的，每个开放日的开放时间</w:t>
                  </w:r>
                  <w:r>
                    <w:rPr>
                      <w:rFonts w:ascii="仿宋" w:hAnsi="仿宋" w:eastAsia="仿宋"/>
                    </w:rPr>
                    <w:t>0</w:t>
                  </w:r>
                  <w:r>
                    <w:rPr>
                      <w:rFonts w:hint="eastAsia" w:ascii="仿宋" w:hAnsi="仿宋" w:eastAsia="仿宋"/>
                    </w:rPr>
                    <w:t>:00-15:</w:t>
                  </w:r>
                  <w:r>
                    <w:rPr>
                      <w:rFonts w:hint="eastAsia" w:ascii="仿宋" w:hAnsi="仿宋" w:eastAsia="仿宋"/>
                      <w:lang w:val="en-US" w:eastAsia="zh-CN"/>
                    </w:rPr>
                    <w:t>3</w:t>
                  </w:r>
                  <w:r>
                    <w:rPr>
                      <w:rFonts w:hint="eastAsia" w:ascii="仿宋" w:hAnsi="仿宋" w:eastAsia="仿宋"/>
                    </w:rPr>
                    <w:t>0。投资者只能于开放日的开放时间内进行赎回。投资者若在T日非开放时间提交赎回，等同在下一开放时间内提交的赎回申请，T日为开放日。</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szCs w:val="21"/>
              </w:rPr>
            </w:pPr>
            <w:r>
              <w:rPr>
                <w:rFonts w:hint="eastAsia" w:ascii="仿宋" w:hAnsi="仿宋" w:eastAsia="仿宋"/>
                <w:szCs w:val="21"/>
              </w:rPr>
              <w:t>代销机构如另有规定，从其规定。</w:t>
            </w:r>
          </w:p>
          <w:p>
            <w:pPr>
              <w:adjustRightInd w:val="0"/>
              <w:snapToGrid w:val="0"/>
              <w:spacing w:line="240" w:lineRule="atLeast"/>
              <w:ind w:right="-44" w:firstLine="422" w:firstLineChars="200"/>
              <w:jc w:val="left"/>
              <w:rPr>
                <w:rFonts w:ascii="仿宋" w:hAnsi="仿宋" w:eastAsia="仿宋"/>
                <w:bCs/>
                <w:szCs w:val="21"/>
              </w:rPr>
            </w:pPr>
            <w:r>
              <w:rPr>
                <w:rFonts w:hint="eastAsia" w:ascii="仿宋" w:hAnsi="仿宋" w:eastAsia="仿宋"/>
                <w:b/>
                <w:bCs/>
                <w:szCs w:val="21"/>
              </w:rPr>
              <w:t>开放期内每个开放日的份额净值</w:t>
            </w:r>
            <w:r>
              <w:rPr>
                <w:rFonts w:ascii="仿宋" w:hAnsi="仿宋" w:eastAsia="仿宋"/>
                <w:b/>
                <w:bCs/>
                <w:color w:val="000000"/>
                <w:szCs w:val="21"/>
              </w:rPr>
              <w:t>将</w:t>
            </w:r>
            <w:r>
              <w:rPr>
                <w:rFonts w:hint="eastAsia" w:ascii="仿宋" w:hAnsi="仿宋" w:eastAsia="仿宋"/>
                <w:b/>
                <w:bCs/>
                <w:color w:val="000000"/>
                <w:szCs w:val="21"/>
              </w:rPr>
              <w:t>随</w:t>
            </w:r>
            <w:r>
              <w:rPr>
                <w:rFonts w:ascii="仿宋" w:hAnsi="仿宋" w:eastAsia="仿宋"/>
                <w:b/>
                <w:bCs/>
                <w:color w:val="000000"/>
                <w:szCs w:val="21"/>
              </w:rPr>
              <w:t>市场波动，具有不</w:t>
            </w:r>
            <w:r>
              <w:rPr>
                <w:rFonts w:hint="eastAsia" w:ascii="仿宋" w:hAnsi="仿宋" w:eastAsia="仿宋"/>
                <w:b/>
                <w:bCs/>
                <w:color w:val="000000"/>
                <w:szCs w:val="21"/>
              </w:rPr>
              <w:t>确定</w:t>
            </w:r>
            <w:r>
              <w:rPr>
                <w:rFonts w:ascii="仿宋" w:hAnsi="仿宋" w:eastAsia="仿宋"/>
                <w:b/>
                <w:bCs/>
                <w:color w:val="000000"/>
                <w:szCs w:val="21"/>
              </w:rPr>
              <w:t>性</w:t>
            </w:r>
            <w:r>
              <w:rPr>
                <w:rFonts w:hint="eastAsia" w:ascii="仿宋" w:hAnsi="仿宋" w:eastAsia="仿宋"/>
                <w:b/>
                <w:bCs/>
                <w:color w:val="000000"/>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确认。T日为开放日。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通过华夏银行/华夏理财购买的，T日扣款；通过其他代销机构购买的，扣款规则以代销机构规定为准。</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以申购申请日的日终份额净值确认，按照“金额申购”的原则计算申购份额。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通过华夏理财赎回的，投资者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；通过华夏银行赎回的，投资者</w:t>
            </w:r>
            <w:r>
              <w:rPr>
                <w:rFonts w:ascii="仿宋" w:hAnsi="仿宋" w:eastAsia="仿宋"/>
                <w:bCs/>
                <w:szCs w:val="21"/>
              </w:rPr>
              <w:t>赎回资金</w:t>
            </w:r>
            <w:r>
              <w:rPr>
                <w:rFonts w:hint="eastAsia" w:ascii="仿宋" w:hAnsi="仿宋" w:eastAsia="仿宋"/>
                <w:bCs/>
                <w:szCs w:val="21"/>
              </w:rPr>
              <w:t>于T+</w:t>
            </w:r>
            <w:r>
              <w:rPr>
                <w:rFonts w:ascii="仿宋" w:hAnsi="仿宋" w:eastAsia="仿宋"/>
                <w:bCs/>
                <w:szCs w:val="21"/>
              </w:rPr>
              <w:t>1</w:t>
            </w:r>
            <w:r>
              <w:rPr>
                <w:rFonts w:hint="eastAsia" w:ascii="仿宋" w:hAnsi="仿宋" w:eastAsia="仿宋"/>
                <w:bCs/>
                <w:szCs w:val="21"/>
              </w:rPr>
              <w:t>日（内）</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赎回金额＝赎回份额×赎回</w:t>
            </w:r>
            <w:r>
              <w:rPr>
                <w:rFonts w:hint="eastAsia" w:ascii="仿宋" w:hAnsi="仿宋" w:eastAsia="仿宋"/>
                <w:bCs/>
                <w:szCs w:val="21"/>
              </w:rPr>
              <w:t>申请日日终的产品份额净值，保留到小数点后</w:t>
            </w:r>
            <w:r>
              <w:rPr>
                <w:rFonts w:ascii="仿宋" w:hAnsi="仿宋" w:eastAsia="仿宋"/>
                <w:bCs/>
                <w:szCs w:val="21"/>
                <w:u w:val="single"/>
              </w:rPr>
              <w:t>2</w:t>
            </w:r>
            <w:r>
              <w:rPr>
                <w:rFonts w:hint="eastAsia" w:ascii="仿宋" w:hAnsi="仿宋" w:eastAsia="仿宋"/>
                <w:bCs/>
                <w:szCs w:val="21"/>
              </w:rPr>
              <w:t>位，小数点后第</w:t>
            </w:r>
            <w:r>
              <w:rPr>
                <w:rFonts w:ascii="仿宋" w:hAnsi="仿宋" w:eastAsia="仿宋"/>
                <w:bCs/>
                <w:szCs w:val="21"/>
                <w:u w:val="single"/>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到期/终止的理财本金</w:t>
            </w:r>
            <w:r>
              <w:rPr>
                <w:rFonts w:ascii="仿宋" w:hAnsi="仿宋" w:eastAsia="仿宋"/>
                <w:bCs/>
                <w:szCs w:val="21"/>
              </w:rPr>
              <w:t>及</w:t>
            </w:r>
            <w:r>
              <w:rPr>
                <w:rFonts w:hint="eastAsia" w:ascii="仿宋" w:hAnsi="仿宋" w:eastAsia="仿宋"/>
                <w:bCs/>
                <w:szCs w:val="21"/>
              </w:rPr>
              <w:t>收益</w:t>
            </w:r>
          </w:p>
          <w:p>
            <w:pPr>
              <w:adjustRightInd w:val="0"/>
              <w:snapToGrid w:val="0"/>
              <w:spacing w:line="240" w:lineRule="atLeast"/>
              <w:jc w:val="center"/>
              <w:rPr>
                <w:rFonts w:ascii="仿宋" w:hAnsi="仿宋" w:eastAsia="仿宋"/>
                <w:bCs/>
                <w:szCs w:val="21"/>
              </w:rPr>
            </w:pPr>
            <w:r>
              <w:rPr>
                <w:rFonts w:ascii="仿宋" w:hAnsi="仿宋" w:eastAsia="仿宋"/>
                <w:bCs/>
                <w:szCs w:val="21"/>
              </w:rPr>
              <w:t>兑付</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后2个工作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客户到期/终止本金及收益金额=∑（每笔份额*到期/终止日的产品份额净值），每笔金额计算保留到小数点后</w:t>
            </w:r>
            <w:r>
              <w:rPr>
                <w:rFonts w:ascii="仿宋" w:hAnsi="仿宋" w:eastAsia="仿宋"/>
                <w:bCs/>
                <w:szCs w:val="21"/>
              </w:rPr>
              <w:t>2</w:t>
            </w:r>
            <w:r>
              <w:rPr>
                <w:rFonts w:hint="eastAsia" w:ascii="仿宋" w:hAnsi="仿宋" w:eastAsia="仿宋"/>
                <w:bCs/>
                <w:szCs w:val="21"/>
              </w:rPr>
              <w:t>位，小数点后第</w:t>
            </w:r>
            <w:r>
              <w:rPr>
                <w:rFonts w:ascii="仿宋" w:hAnsi="仿宋" w:eastAsia="仿宋"/>
                <w:bCs/>
                <w:szCs w:val="21"/>
              </w:rPr>
              <w:t>3</w:t>
            </w:r>
            <w:r>
              <w:rPr>
                <w:rFonts w:hint="eastAsia" w:ascii="仿宋" w:hAnsi="仿宋" w:eastAsia="仿宋"/>
                <w:bCs/>
                <w:szCs w:val="21"/>
              </w:rPr>
              <w:t>位四舍五入。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Cs/>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ascii="仿宋" w:hAnsi="仿宋" w:eastAsia="仿宋"/>
                <w:bCs/>
                <w:szCs w:val="21"/>
                <w:u w:val="single"/>
              </w:rPr>
              <w:t>10</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rPr>
              <w:t>募集期最后一日1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2.开放日申购、赎回撤销</w:t>
            </w:r>
          </w:p>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投资者可于开放日开放时间内撤销当日已提交的申购、赎回申请，具体规定如下：</w:t>
            </w:r>
          </w:p>
          <w:p>
            <w:pPr>
              <w:adjustRightInd w:val="0"/>
              <w:snapToGrid w:val="0"/>
              <w:spacing w:line="240" w:lineRule="atLeast"/>
              <w:ind w:firstLine="420" w:firstLineChars="200"/>
              <w:rPr>
                <w:rFonts w:hint="eastAsia" w:ascii="仿宋" w:hAnsi="仿宋" w:eastAsia="仿宋"/>
                <w:bCs/>
                <w:szCs w:val="21"/>
              </w:rPr>
            </w:pPr>
            <w:r>
              <w:rPr>
                <w:rFonts w:ascii="仿宋" w:hAnsi="仿宋" w:eastAsia="仿宋"/>
                <w:bCs/>
                <w:szCs w:val="21"/>
              </w:rPr>
              <w:t>（</w:t>
            </w:r>
            <w:r>
              <w:rPr>
                <w:rFonts w:hint="eastAsia" w:ascii="仿宋" w:hAnsi="仿宋" w:eastAsia="仿宋"/>
                <w:bCs/>
                <w:szCs w:val="21"/>
              </w:rPr>
              <w:t>1）只能全额撤销。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2</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3</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4</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w:t>
            </w:r>
            <w:r>
              <w:rPr>
                <w:rFonts w:hint="eastAsia" w:ascii="仿宋" w:hAnsi="仿宋" w:eastAsia="仿宋"/>
                <w:bCs/>
                <w:szCs w:val="21"/>
                <w:lang w:val="en-US" w:eastAsia="zh-CN"/>
              </w:rPr>
              <w:t>5</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rPr>
              <w:t>开放日1</w:t>
            </w:r>
            <w:r>
              <w:rPr>
                <w:rFonts w:ascii="仿宋" w:hAnsi="仿宋" w:eastAsia="仿宋"/>
              </w:rPr>
              <w:t>5</w:t>
            </w:r>
            <w:r>
              <w:rPr>
                <w:rFonts w:hint="eastAsia" w:ascii="仿宋" w:hAnsi="仿宋" w:eastAsia="仿宋"/>
              </w:rPr>
              <w:t>:</w:t>
            </w:r>
            <w:r>
              <w:rPr>
                <w:rFonts w:hint="eastAsia" w:ascii="仿宋" w:hAnsi="仿宋" w:eastAsia="仿宋"/>
                <w:lang w:val="en-US" w:eastAsia="zh-CN"/>
              </w:rPr>
              <w:t>3</w:t>
            </w:r>
            <w:r>
              <w:rPr>
                <w:rFonts w:hint="eastAsia" w:ascii="仿宋" w:hAnsi="仿宋" w:eastAsia="仿宋"/>
              </w:rPr>
              <w:t>0（含）之后</w:t>
            </w:r>
            <w:r>
              <w:rPr>
                <w:rFonts w:hint="eastAsia" w:ascii="仿宋" w:hAnsi="仿宋" w:eastAsia="仿宋"/>
                <w:bCs/>
                <w:szCs w:val="21"/>
              </w:rPr>
              <w:t>不能进行撤销。</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lang w:eastAsia="zh-CN"/>
              </w:rPr>
              <w:t>（</w:t>
            </w:r>
            <w:r>
              <w:rPr>
                <w:rFonts w:hint="eastAsia" w:ascii="仿宋" w:hAnsi="仿宋" w:eastAsia="仿宋"/>
                <w:bCs/>
                <w:szCs w:val="21"/>
                <w:lang w:val="en-US" w:eastAsia="zh-CN"/>
              </w:rPr>
              <w:t>6</w:t>
            </w:r>
            <w:r>
              <w:rPr>
                <w:rFonts w:hint="eastAsia" w:ascii="仿宋" w:hAnsi="仿宋" w:eastAsia="仿宋"/>
                <w:bCs/>
                <w:szCs w:val="21"/>
                <w:lang w:eastAsia="zh-CN"/>
              </w:rPr>
              <w:t>）</w:t>
            </w:r>
            <w:r>
              <w:rPr>
                <w:rFonts w:hint="eastAsia" w:ascii="仿宋" w:hAnsi="仿宋" w:eastAsia="仿宋"/>
                <w:bCs/>
                <w:szCs w:val="21"/>
              </w:rPr>
              <w:t>通过其他代销机构申购的，撤销规定以代销机构规定为准。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u w:val="single"/>
              </w:rPr>
            </w:pPr>
            <w:r>
              <w:rPr>
                <w:rFonts w:hint="eastAsia" w:ascii="仿宋" w:hAnsi="仿宋" w:eastAsia="仿宋"/>
                <w:b/>
                <w:bCs/>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0.03%/年，以前一日资产净值为基数，每日计提。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F=E×【0.03%】</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F为托管费；E为计算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A份额：0.30%/年，以前一日资产净值为基数，每日计提。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D</w:t>
            </w:r>
            <w:r>
              <w:rPr>
                <w:rFonts w:hint="eastAsia" w:ascii="仿宋" w:hAnsi="仿宋" w:eastAsia="仿宋"/>
                <w:b/>
                <w:bCs w:val="0"/>
                <w:szCs w:val="21"/>
              </w:rPr>
              <w:t>份额：</w:t>
            </w:r>
            <w:r>
              <w:rPr>
                <w:rFonts w:hint="eastAsia" w:ascii="仿宋" w:hAnsi="仿宋" w:eastAsia="仿宋"/>
                <w:b/>
                <w:bCs w:val="0"/>
                <w:szCs w:val="21"/>
                <w:lang w:eastAsia="zh-CN"/>
              </w:rPr>
              <w:t>0.30%/年，</w:t>
            </w:r>
            <w:r>
              <w:rPr>
                <w:rFonts w:hint="eastAsia" w:ascii="仿宋" w:hAnsi="仿宋" w:eastAsia="仿宋"/>
                <w:b/>
                <w:bCs w:val="0"/>
                <w:szCs w:val="21"/>
              </w:rPr>
              <w:t>以前一日资产净值为基数，每日计提。</w:t>
            </w:r>
          </w:p>
          <w:p>
            <w:pPr>
              <w:adjustRightInd w:val="0"/>
              <w:snapToGrid w:val="0"/>
              <w:spacing w:line="240" w:lineRule="atLeast"/>
              <w:ind w:firstLine="420"/>
              <w:jc w:val="left"/>
              <w:rPr>
                <w:rFonts w:ascii="仿宋" w:hAnsi="仿宋" w:eastAsia="仿宋"/>
                <w:b/>
                <w:bCs w:val="0"/>
                <w:szCs w:val="21"/>
              </w:rPr>
            </w:pPr>
            <w:r>
              <w:rPr>
                <w:rFonts w:ascii="仿宋" w:hAnsi="仿宋" w:eastAsia="仿宋"/>
                <w:b/>
                <w:bCs w:val="0"/>
                <w:szCs w:val="21"/>
              </w:rPr>
              <w:t>G</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ascii="仿宋" w:hAnsi="仿宋" w:eastAsia="仿宋"/>
                <w:b/>
                <w:bCs w:val="0"/>
                <w:szCs w:val="21"/>
              </w:rPr>
              <w:t>H</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K</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lang w:val="en-US" w:eastAsia="zh-CN"/>
              </w:rPr>
              <w:t>Z</w:t>
            </w:r>
            <w:r>
              <w:rPr>
                <w:rFonts w:hint="eastAsia" w:ascii="仿宋" w:hAnsi="仿宋" w:eastAsia="仿宋"/>
                <w:b/>
                <w:bCs w:val="0"/>
                <w:szCs w:val="21"/>
              </w:rPr>
              <w:t>份额：0.30%/年，以前一日资产净值为基数，每日计提。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hint="eastAsia" w:ascii="仿宋" w:hAnsi="仿宋" w:eastAsia="仿宋"/>
                <w:b/>
                <w:bCs/>
                <w:szCs w:val="21"/>
              </w:rPr>
            </w:pPr>
            <w:r>
              <w:rPr>
                <w:rFonts w:hint="eastAsia" w:ascii="仿宋" w:hAnsi="仿宋" w:eastAsia="仿宋"/>
                <w:b/>
                <w:bCs/>
                <w:szCs w:val="21"/>
              </w:rPr>
              <w:t>F=E×【各份额</w:t>
            </w:r>
            <w:r>
              <w:rPr>
                <w:rFonts w:hint="eastAsia" w:ascii="仿宋" w:hAnsi="仿宋" w:eastAsia="仿宋" w:cs="Cambria"/>
                <w:b/>
                <w:bCs/>
                <w:szCs w:val="21"/>
              </w:rPr>
              <w:t>销售手续费率</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F为各份额销售</w:t>
            </w:r>
            <w:r>
              <w:rPr>
                <w:rFonts w:ascii="仿宋" w:hAnsi="仿宋" w:eastAsia="仿宋"/>
                <w:b/>
                <w:bCs/>
                <w:szCs w:val="21"/>
              </w:rPr>
              <w:t>手续费</w:t>
            </w:r>
            <w:r>
              <w:rPr>
                <w:rFonts w:hint="eastAsia" w:ascii="仿宋" w:hAnsi="仿宋" w:eastAsia="仿宋"/>
                <w:b/>
                <w:bCs/>
                <w:szCs w:val="21"/>
              </w:rPr>
              <w:t>；E为计算</w:t>
            </w:r>
            <w:r>
              <w:rPr>
                <w:rFonts w:ascii="仿宋" w:hAnsi="仿宋" w:eastAsia="仿宋"/>
                <w:b/>
                <w:bCs/>
                <w:szCs w:val="21"/>
              </w:rPr>
              <w:t>基数</w:t>
            </w:r>
            <w:r>
              <w:rPr>
                <w:rFonts w:hint="eastAsia" w:ascii="仿宋" w:hAnsi="仿宋" w:eastAsia="仿宋"/>
                <w:b/>
                <w:bCs/>
                <w:szCs w:val="21"/>
              </w:rPr>
              <w:t>。</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ascii="仿宋" w:hAnsi="仿宋" w:eastAsia="仿宋"/>
                <w:b/>
                <w:bCs/>
                <w:szCs w:val="21"/>
              </w:rPr>
            </w:pP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/年，以前一日资产净值为基数，每日计提。</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公式如下：</w:t>
            </w:r>
          </w:p>
          <w:p>
            <w:pPr>
              <w:adjustRightInd w:val="0"/>
              <w:snapToGrid w:val="0"/>
              <w:spacing w:line="240" w:lineRule="atLeast"/>
              <w:ind w:firstLine="420"/>
              <w:jc w:val="left"/>
              <w:rPr>
                <w:rFonts w:ascii="仿宋" w:hAnsi="仿宋" w:eastAsia="仿宋"/>
                <w:b/>
                <w:bCs/>
                <w:szCs w:val="21"/>
              </w:rPr>
            </w:pPr>
            <w:r>
              <w:rPr>
                <w:rFonts w:hint="eastAsia" w:ascii="仿宋" w:hAnsi="仿宋" w:eastAsia="仿宋"/>
                <w:b/>
                <w:bCs/>
                <w:szCs w:val="21"/>
              </w:rPr>
              <w:t>F=E×【</w:t>
            </w:r>
            <w:r>
              <w:rPr>
                <w:rFonts w:ascii="仿宋" w:hAnsi="仿宋" w:eastAsia="仿宋"/>
                <w:b/>
                <w:bCs/>
                <w:szCs w:val="21"/>
              </w:rPr>
              <w:t>0.</w:t>
            </w:r>
            <w:r>
              <w:rPr>
                <w:rFonts w:hint="eastAsia" w:ascii="仿宋" w:hAnsi="仿宋" w:eastAsia="仿宋"/>
                <w:b/>
                <w:bCs/>
                <w:szCs w:val="21"/>
                <w:lang w:val="en-US" w:eastAsia="zh-CN"/>
              </w:rPr>
              <w:t>20</w:t>
            </w:r>
            <w:r>
              <w:rPr>
                <w:rFonts w:ascii="仿宋" w:hAnsi="仿宋" w:eastAsia="仿宋"/>
                <w:b/>
                <w:bCs/>
                <w:szCs w:val="21"/>
              </w:rPr>
              <w:t>%</w:t>
            </w:r>
            <w:r>
              <w:rPr>
                <w:rFonts w:hint="eastAsia" w:ascii="仿宋" w:hAnsi="仿宋" w:eastAsia="仿宋"/>
                <w:b/>
                <w:bCs/>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szCs w:val="21"/>
              </w:rPr>
              <w:t>F为固定管理费；E为计算</w:t>
            </w:r>
            <w:r>
              <w:rPr>
                <w:rFonts w:ascii="仿宋" w:hAnsi="仿宋" w:eastAsia="仿宋"/>
                <w:b/>
                <w:bCs/>
                <w:szCs w:val="21"/>
              </w:rPr>
              <w:t>基数</w:t>
            </w:r>
            <w:r>
              <w:rPr>
                <w:rFonts w:hint="eastAsia" w:ascii="仿宋" w:hAnsi="仿宋" w:eastAsia="仿宋"/>
                <w:b/>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szCs w:val="21"/>
              </w:rPr>
            </w:pPr>
            <w:r>
              <w:rPr>
                <w:rFonts w:hint="eastAsia" w:ascii="仿宋" w:hAnsi="仿宋" w:eastAsia="仿宋"/>
                <w:b/>
                <w:bCs/>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
                <w:bCs/>
                <w:szCs w:val="21"/>
                <w:u w:val="single"/>
              </w:rPr>
            </w:pPr>
            <w:r>
              <w:rPr>
                <w:rFonts w:hint="eastAsia" w:ascii="仿宋" w:hAnsi="仿宋" w:eastAsia="仿宋"/>
                <w:b/>
                <w:bCs/>
                <w:szCs w:val="21"/>
              </w:rPr>
              <w:t>本理财产品不收取超额管理费。</w:t>
            </w:r>
          </w:p>
          <w:p>
            <w:pPr>
              <w:adjustRightInd w:val="0"/>
              <w:snapToGrid w:val="0"/>
              <w:spacing w:line="240" w:lineRule="atLeast"/>
              <w:ind w:firstLine="420"/>
              <w:rPr>
                <w:rFonts w:ascii="仿宋" w:hAnsi="仿宋" w:eastAsia="仿宋"/>
                <w:b/>
                <w:bCs/>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szCs w:val="21"/>
              </w:rPr>
              <w:t>通过</w:t>
            </w:r>
            <w:r>
              <w:rPr>
                <w:rFonts w:hint="eastAsia" w:ascii="仿宋" w:hAnsi="仿宋" w:eastAsia="仿宋"/>
                <w:b/>
                <w:bCs/>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份额净值公告日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CTFangSongSJ"/>
                <w:kern w:val="0"/>
                <w:szCs w:val="21"/>
              </w:rPr>
              <w:t>每个工作日公告</w:t>
            </w:r>
            <w:r>
              <w:rPr>
                <w:rFonts w:hint="eastAsia" w:ascii="仿宋" w:hAnsi="仿宋" w:eastAsia="仿宋"/>
                <w:bCs/>
                <w:szCs w:val="21"/>
              </w:rPr>
              <w:t>上一个工作日</w:t>
            </w:r>
            <w:r>
              <w:rPr>
                <w:rFonts w:ascii="仿宋" w:hAnsi="仿宋" w:eastAsia="仿宋"/>
                <w:bCs/>
                <w:szCs w:val="21"/>
              </w:rPr>
              <w:t>的</w:t>
            </w:r>
            <w:r>
              <w:rPr>
                <w:rFonts w:hint="eastAsia" w:ascii="仿宋" w:hAnsi="仿宋" w:eastAsia="仿宋"/>
                <w:bCs/>
                <w:szCs w:val="21"/>
              </w:rPr>
              <w:t>份额净值</w:t>
            </w:r>
            <w:r>
              <w:rPr>
                <w:rFonts w:ascii="仿宋" w:hAnsi="仿宋" w:eastAsia="仿宋"/>
                <w:bCs/>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产品到期/终止</w:t>
            </w:r>
            <w:r>
              <w:rPr>
                <w:rFonts w:ascii="仿宋" w:hAnsi="仿宋" w:eastAsia="仿宋"/>
                <w:bCs/>
                <w:szCs w:val="21"/>
              </w:rPr>
              <w:t>后的</w:t>
            </w:r>
            <w:r>
              <w:rPr>
                <w:rFonts w:hint="eastAsia" w:ascii="仿宋" w:hAnsi="仿宋" w:eastAsia="仿宋"/>
                <w:bCs/>
                <w:szCs w:val="21"/>
              </w:rPr>
              <w:t>第</w:t>
            </w:r>
            <w:r>
              <w:rPr>
                <w:rFonts w:ascii="仿宋" w:hAnsi="仿宋" w:eastAsia="仿宋"/>
                <w:bCs/>
                <w:szCs w:val="21"/>
              </w:rPr>
              <w:t>2</w:t>
            </w:r>
            <w:r>
              <w:rPr>
                <w:rFonts w:hint="eastAsia" w:ascii="仿宋" w:hAnsi="仿宋" w:eastAsia="仿宋"/>
                <w:bCs/>
                <w:szCs w:val="21"/>
              </w:rPr>
              <w:t>个</w:t>
            </w:r>
            <w:r>
              <w:rPr>
                <w:rFonts w:ascii="仿宋" w:hAnsi="仿宋" w:eastAsia="仿宋"/>
                <w:bCs/>
                <w:szCs w:val="21"/>
              </w:rPr>
              <w:t>工作日为</w:t>
            </w:r>
            <w:r>
              <w:rPr>
                <w:rFonts w:hint="eastAsia" w:ascii="仿宋" w:hAnsi="仿宋" w:eastAsia="仿宋"/>
                <w:bCs/>
                <w:szCs w:val="21"/>
              </w:rPr>
              <w:t>份额净值</w:t>
            </w:r>
            <w:r>
              <w:rPr>
                <w:rFonts w:ascii="仿宋" w:hAnsi="仿宋" w:eastAsia="仿宋"/>
                <w:bCs/>
                <w:szCs w:val="21"/>
              </w:rPr>
              <w:t>公告日，</w:t>
            </w:r>
            <w:r>
              <w:rPr>
                <w:rFonts w:hint="eastAsia" w:ascii="仿宋" w:hAnsi="仿宋" w:eastAsia="仿宋"/>
                <w:bCs/>
                <w:szCs w:val="21"/>
              </w:rPr>
              <w:t>公告产品到期/终止</w:t>
            </w:r>
            <w:r>
              <w:rPr>
                <w:rFonts w:ascii="仿宋" w:hAnsi="仿宋" w:eastAsia="仿宋"/>
                <w:bCs/>
                <w:szCs w:val="21"/>
              </w:rPr>
              <w:t>日的</w:t>
            </w:r>
            <w:r>
              <w:rPr>
                <w:rFonts w:hint="eastAsia" w:ascii="仿宋" w:hAnsi="仿宋" w:eastAsia="仿宋"/>
                <w:bCs/>
                <w:szCs w:val="21"/>
              </w:rPr>
              <w:t>份额净值</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摆动定价</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76" w:lineRule="auto"/>
              <w:ind w:firstLine="420" w:firstLineChars="200"/>
              <w:jc w:val="left"/>
            </w:pPr>
            <w:r>
              <w:rPr>
                <w:rFonts w:hint="eastAsia" w:ascii="仿宋" w:hAnsi="仿宋" w:eastAsia="仿宋"/>
                <w:bCs/>
                <w:szCs w:val="21"/>
              </w:rPr>
              <w:t>当理财产品遭遇大额申购或赎回时，管理人可根据理财产品投资组合的市场冲击成本调整投资者申购或赎回时的产品份额净值，将调整投资组合的市场冲击成本分配给实际申购或赎回的投资者，从而减少对存量产品投资者利益的不利影响，确保投资者的合法权益不受损害并得到公平对待。</w:t>
            </w:r>
          </w:p>
          <w:p>
            <w:pPr>
              <w:adjustRightInd w:val="0"/>
              <w:snapToGrid w:val="0"/>
              <w:spacing w:line="276" w:lineRule="auto"/>
              <w:ind w:firstLine="420" w:firstLineChars="200"/>
              <w:jc w:val="left"/>
            </w:pPr>
            <w:r>
              <w:rPr>
                <w:rFonts w:hint="eastAsia" w:ascii="仿宋" w:hAnsi="仿宋" w:eastAsia="仿宋"/>
                <w:bCs/>
                <w:szCs w:val="21"/>
              </w:rPr>
              <w:t>具体操作规范遵循相关法律法规以及监管部门、自律规则的规定，并以届时管理人信息披露为准。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分红方式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产品</w:t>
            </w:r>
            <w:r>
              <w:rPr>
                <w:rFonts w:ascii="仿宋" w:hAnsi="仿宋" w:eastAsia="仿宋"/>
                <w:bCs/>
                <w:szCs w:val="21"/>
              </w:rPr>
              <w:t>管理人可以在产品存续期</w:t>
            </w:r>
            <w:r>
              <w:rPr>
                <w:rFonts w:hint="eastAsia" w:ascii="仿宋" w:hAnsi="仿宋" w:eastAsia="仿宋"/>
                <w:bCs/>
                <w:szCs w:val="21"/>
              </w:rPr>
              <w:t>根据</w:t>
            </w:r>
            <w:r>
              <w:rPr>
                <w:rFonts w:ascii="仿宋" w:hAnsi="仿宋" w:eastAsia="仿宋"/>
                <w:bCs/>
                <w:szCs w:val="21"/>
              </w:rPr>
              <w:t>投资情况选择分红</w:t>
            </w:r>
            <w:r>
              <w:rPr>
                <w:rFonts w:hint="eastAsia" w:ascii="仿宋" w:hAnsi="仿宋" w:eastAsia="仿宋"/>
                <w:bCs/>
                <w:szCs w:val="21"/>
              </w:rPr>
              <w:t>或</w:t>
            </w:r>
            <w:r>
              <w:rPr>
                <w:rFonts w:ascii="仿宋" w:hAnsi="仿宋" w:eastAsia="仿宋"/>
                <w:bCs/>
                <w:szCs w:val="21"/>
              </w:rPr>
              <w:t>不分红</w:t>
            </w:r>
            <w:r>
              <w:rPr>
                <w:rFonts w:hint="eastAsia" w:ascii="仿宋" w:hAnsi="仿宋" w:eastAsia="仿宋"/>
                <w:bCs/>
                <w:szCs w:val="21"/>
              </w:rPr>
              <w:t>，若</w:t>
            </w:r>
            <w:r>
              <w:rPr>
                <w:rFonts w:ascii="仿宋" w:hAnsi="仿宋" w:eastAsia="仿宋"/>
                <w:bCs/>
                <w:szCs w:val="21"/>
              </w:rPr>
              <w:t>分红，将以现金</w:t>
            </w:r>
            <w:r>
              <w:rPr>
                <w:rFonts w:hint="eastAsia" w:ascii="仿宋" w:hAnsi="仿宋" w:eastAsia="仿宋"/>
                <w:bCs/>
                <w:szCs w:val="21"/>
              </w:rPr>
              <w:t>分红或</w:t>
            </w:r>
            <w:r>
              <w:rPr>
                <w:rFonts w:ascii="仿宋" w:hAnsi="仿宋" w:eastAsia="仿宋"/>
                <w:bCs/>
                <w:szCs w:val="21"/>
              </w:rPr>
              <w:t>红利再投资方式</w:t>
            </w:r>
            <w:r>
              <w:rPr>
                <w:rFonts w:hint="eastAsia" w:ascii="仿宋" w:hAnsi="仿宋" w:eastAsia="仿宋"/>
                <w:bCs/>
                <w:szCs w:val="21"/>
              </w:rPr>
              <w:t>进行，</w:t>
            </w:r>
            <w:r>
              <w:rPr>
                <w:rFonts w:hint="eastAsia" w:ascii="仿宋" w:hAnsi="仿宋" w:eastAsia="仿宋"/>
                <w:bCs/>
                <w:szCs w:val="21"/>
                <w:lang w:val="en-US" w:eastAsia="zh-CN"/>
              </w:rPr>
              <w:t>默认为现金分红，</w:t>
            </w:r>
            <w:r>
              <w:rPr>
                <w:rFonts w:ascii="仿宋" w:hAnsi="仿宋" w:eastAsia="仿宋"/>
                <w:bCs/>
                <w:szCs w:val="21"/>
              </w:rPr>
              <w:t>具体以公告为准</w:t>
            </w:r>
            <w:r>
              <w:rPr>
                <w:rFonts w:hint="eastAsia" w:ascii="仿宋" w:hAnsi="仿宋" w:eastAsia="仿宋"/>
                <w:bCs/>
                <w:szCs w:val="21"/>
              </w:rPr>
              <w:t>。</w:t>
            </w:r>
            <w:r>
              <w:rPr>
                <w:rFonts w:hint="eastAsia" w:ascii="仿宋" w:hAnsi="仿宋" w:eastAsia="仿宋" w:cs="宋体"/>
                <w:kern w:val="0"/>
                <w:szCs w:val="21"/>
              </w:rPr>
              <w:t>本理财产品</w:t>
            </w:r>
            <w:r>
              <w:rPr>
                <w:rFonts w:ascii="仿宋" w:hAnsi="仿宋" w:eastAsia="仿宋" w:cs="宋体"/>
                <w:kern w:val="0"/>
                <w:szCs w:val="21"/>
              </w:rPr>
              <w:t>分红，</w:t>
            </w:r>
            <w:r>
              <w:rPr>
                <w:rFonts w:hint="eastAsia" w:ascii="仿宋" w:hAnsi="仿宋" w:eastAsia="仿宋" w:cs="宋体"/>
                <w:kern w:val="0"/>
                <w:szCs w:val="21"/>
              </w:rPr>
              <w:t>将于</w:t>
            </w:r>
            <w:r>
              <w:rPr>
                <w:rFonts w:ascii="仿宋" w:hAnsi="仿宋" w:eastAsia="仿宋" w:cs="宋体"/>
                <w:kern w:val="0"/>
                <w:szCs w:val="21"/>
              </w:rPr>
              <w:t>分红</w:t>
            </w:r>
            <w:r>
              <w:rPr>
                <w:rFonts w:hint="eastAsia" w:ascii="仿宋" w:hAnsi="仿宋" w:eastAsia="仿宋" w:cs="宋体"/>
                <w:kern w:val="0"/>
                <w:szCs w:val="21"/>
              </w:rPr>
              <w:t>日</w:t>
            </w:r>
            <w:r>
              <w:rPr>
                <w:rFonts w:ascii="仿宋" w:hAnsi="仿宋" w:eastAsia="仿宋" w:cs="宋体"/>
                <w:kern w:val="0"/>
                <w:szCs w:val="21"/>
              </w:rPr>
              <w:t>前</w:t>
            </w:r>
            <w:r>
              <w:rPr>
                <w:rFonts w:hint="eastAsia" w:ascii="仿宋" w:hAnsi="仿宋" w:eastAsia="仿宋"/>
                <w:bCs/>
                <w:szCs w:val="21"/>
              </w:rPr>
              <w:t>3</w:t>
            </w:r>
            <w:r>
              <w:rPr>
                <w:rFonts w:hint="eastAsia" w:ascii="仿宋" w:hAnsi="仿宋" w:eastAsia="仿宋" w:cs="宋体"/>
                <w:kern w:val="0"/>
                <w:szCs w:val="21"/>
              </w:rPr>
              <w:t>个</w:t>
            </w:r>
            <w:r>
              <w:rPr>
                <w:rFonts w:ascii="仿宋" w:hAnsi="仿宋" w:eastAsia="仿宋" w:cs="宋体"/>
                <w:kern w:val="0"/>
                <w:szCs w:val="21"/>
              </w:rPr>
              <w:t>工作日通过</w:t>
            </w:r>
            <w:r>
              <w:rPr>
                <w:rFonts w:hint="eastAsia" w:ascii="仿宋" w:hAnsi="仿宋" w:eastAsia="仿宋" w:cs="宋体"/>
                <w:kern w:val="0"/>
                <w:szCs w:val="21"/>
              </w:rPr>
              <w:t>本产品说明书约定的信息披露</w:t>
            </w:r>
            <w:r>
              <w:rPr>
                <w:rFonts w:ascii="仿宋" w:hAnsi="仿宋" w:eastAsia="仿宋" w:cs="宋体"/>
                <w:kern w:val="0"/>
                <w:szCs w:val="21"/>
              </w:rPr>
              <w:t>渠道</w:t>
            </w:r>
            <w:r>
              <w:rPr>
                <w:rFonts w:hint="eastAsia" w:ascii="仿宋" w:hAnsi="仿宋" w:eastAsia="仿宋" w:cs="宋体"/>
                <w:kern w:val="0"/>
                <w:szCs w:val="21"/>
              </w:rPr>
              <w:t>公布</w:t>
            </w:r>
            <w:r>
              <w:rPr>
                <w:rFonts w:ascii="仿宋" w:hAnsi="仿宋" w:eastAsia="仿宋" w:cs="宋体"/>
                <w:kern w:val="0"/>
                <w:szCs w:val="21"/>
              </w:rPr>
              <w:t>分红</w:t>
            </w:r>
            <w:r>
              <w:rPr>
                <w:rFonts w:hint="eastAsia" w:ascii="仿宋" w:hAnsi="仿宋" w:eastAsia="仿宋" w:cs="宋体"/>
                <w:kern w:val="0"/>
                <w:szCs w:val="21"/>
              </w:rPr>
              <w:t>方案</w:t>
            </w:r>
            <w:r>
              <w:rPr>
                <w:rFonts w:ascii="仿宋" w:hAnsi="仿宋" w:eastAsia="仿宋" w:cs="宋体"/>
                <w:kern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。除本产品说明书另有约定，</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w:t>
            </w:r>
            <w:r>
              <w:rPr>
                <w:rFonts w:ascii="仿宋" w:hAnsi="仿宋" w:eastAsia="仿宋"/>
                <w:bCs/>
                <w:szCs w:val="21"/>
              </w:rPr>
              <w:t>1</w:t>
            </w:r>
            <w:r>
              <w:rPr>
                <w:rFonts w:hint="eastAsia" w:ascii="仿宋" w:hAnsi="仿宋" w:eastAsia="仿宋"/>
                <w:bCs/>
                <w:szCs w:val="21"/>
              </w:rPr>
              <w:t>万份时；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（4</w:t>
            </w:r>
            <w:r>
              <w:rPr>
                <w:rFonts w:hint="eastAsia" w:ascii="仿宋" w:hAnsi="仿宋" w:eastAsia="仿宋"/>
                <w:bCs/>
                <w:szCs w:val="21"/>
              </w:rPr>
              <w:t>）</w:t>
            </w:r>
            <w:r>
              <w:rPr>
                <w:rFonts w:hint="eastAsia" w:ascii="仿宋" w:hAnsi="仿宋" w:eastAsia="仿宋" w:cs="宋体"/>
                <w:kern w:val="0"/>
                <w:szCs w:val="21"/>
              </w:rPr>
              <w:t>理财产品赎回申请/到期/终止日（不含）至资金到账日（不含）之间，投资者资金不计存款利息及理财收益。</w:t>
            </w:r>
          </w:p>
        </w:tc>
      </w:tr>
    </w:tbl>
    <w:p>
      <w:pPr>
        <w:pStyle w:val="18"/>
        <w:snapToGrid w:val="0"/>
        <w:spacing w:after="156" w:afterLines="50" w:line="400" w:lineRule="exact"/>
        <w:ind w:firstLine="482" w:firstLineChars="200"/>
        <w:jc w:val="both"/>
        <w:outlineLvl w:val="0"/>
        <w:rPr>
          <w:rFonts w:hint="eastAsia" w:ascii="Times New Roman" w:eastAsia="黑体" w:cs="Times New Roman"/>
          <w:b/>
          <w:color w:val="auto"/>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投资对象</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将全部投资于境内市场固定收益类金融工具，包括货币市场工具、标准化债权类资产及其他符合监管要求的固定收益类金融资产，其中投资于同业存单、存款类资产及债券逆回购的比例不低于产品规模的80%。</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本理财产品可以按照国务院金融管理部门相关规定开展回购业务，回购业务中可接受押品的资质要求与本说明书约定的投资范围保持一致。</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其中货币市场工具包括银行存款、大额存单、同业存单（CD）、短期融资券、超短期融资券、剩余期限在397天以内（含397天）的债券、期限在一年以内（含一年）的债券回购、期限在一年以内（含一年）的中央银行票据以及监管机构认可的其他具有良好流动性的金融工具；</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标准化债权类资产包括国债、中央银行票据、地方政府债券、政府支持机构债券、金融债券、非金融企业债务融资工具、公司债券、企业债券、同业存单、信贷资产支持证券、证券交易所挂牌交易的资产支持证券、货币市场基金、债券型公募证券投资基金等。</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产品的投资范围可能随国家法律法规及监管政策的变化而调整，如法律法规或监管机构以后允许理财产品投资其他品种，可在公告后，将其纳入投资范围，投资比例将遵循法律法规或相关规定。</w:t>
      </w:r>
    </w:p>
    <w:p>
      <w:pPr>
        <w:widowControl/>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各类资产投资比例如下：</w:t>
      </w:r>
    </w:p>
    <w:tbl>
      <w:tblPr>
        <w:tblStyle w:val="11"/>
        <w:tblW w:w="8063" w:type="dxa"/>
        <w:jc w:val="center"/>
        <w:tblCellSpacing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3984"/>
        <w:gridCol w:w="40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jc w:val="center"/>
              <w:rPr>
                <w:rFonts w:eastAsia="仿宋"/>
                <w:color w:val="000000"/>
                <w:kern w:val="0"/>
                <w:sz w:val="24"/>
              </w:rPr>
            </w:pPr>
            <w:r>
              <w:rPr>
                <w:rFonts w:hint="eastAsia" w:eastAsia="仿宋"/>
                <w:color w:val="000000"/>
                <w:kern w:val="0"/>
                <w:sz w:val="24"/>
              </w:rPr>
              <w:t>资产</w:t>
            </w:r>
            <w:r>
              <w:rPr>
                <w:rFonts w:eastAsia="仿宋"/>
                <w:color w:val="000000"/>
                <w:kern w:val="0"/>
                <w:sz w:val="24"/>
              </w:rPr>
              <w:t>类别</w:t>
            </w:r>
          </w:p>
        </w:tc>
        <w:tc>
          <w:tcPr>
            <w:tcW w:w="4079" w:type="dxa"/>
            <w:vAlign w:val="center"/>
          </w:tcPr>
          <w:p>
            <w:pPr>
              <w:adjustRightInd w:val="0"/>
              <w:snapToGrid w:val="0"/>
              <w:jc w:val="center"/>
              <w:rPr>
                <w:rFonts w:eastAsia="仿宋"/>
                <w:color w:val="000000"/>
                <w:kern w:val="0"/>
                <w:sz w:val="24"/>
              </w:rPr>
            </w:pPr>
            <w:r>
              <w:rPr>
                <w:rFonts w:eastAsia="仿宋"/>
                <w:color w:val="000000"/>
                <w:kern w:val="0"/>
                <w:sz w:val="24"/>
              </w:rPr>
              <w:t>投资比例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47"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rPr>
            </w:pPr>
            <w:r>
              <w:rPr>
                <w:rFonts w:hint="eastAsia" w:ascii="仿宋" w:hAnsi="仿宋" w:eastAsia="仿宋" w:cs="宋体"/>
                <w:color w:val="000000"/>
                <w:kern w:val="0"/>
                <w:sz w:val="24"/>
              </w:rPr>
              <w:t>货币市场工具</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11" w:hRule="atLeast"/>
          <w:tblCellSpacing w:w="0" w:type="dxa"/>
          <w:jc w:val="center"/>
        </w:trPr>
        <w:tc>
          <w:tcPr>
            <w:tcW w:w="3984" w:type="dxa"/>
            <w:vAlign w:val="center"/>
          </w:tcPr>
          <w:p>
            <w:pPr>
              <w:adjustRightInd w:val="0"/>
              <w:snapToGrid w:val="0"/>
              <w:spacing w:line="240" w:lineRule="auto"/>
              <w:jc w:val="center"/>
              <w:rPr>
                <w:rFonts w:hint="eastAsia" w:eastAsia="仿宋"/>
                <w:color w:val="000000"/>
                <w:kern w:val="0"/>
                <w:sz w:val="24"/>
                <w:lang w:val="en-US" w:eastAsia="zh-CN"/>
              </w:rPr>
            </w:pPr>
            <w:r>
              <w:rPr>
                <w:rFonts w:hint="eastAsia" w:ascii="仿宋" w:hAnsi="仿宋" w:eastAsia="仿宋" w:cs="宋体"/>
                <w:color w:val="000000"/>
                <w:kern w:val="0"/>
                <w:sz w:val="24"/>
              </w:rPr>
              <w:t>标准化债权类</w:t>
            </w:r>
            <w:r>
              <w:rPr>
                <w:rFonts w:hint="eastAsia" w:ascii="仿宋" w:hAnsi="仿宋" w:eastAsia="仿宋" w:cs="宋体"/>
                <w:color w:val="000000"/>
                <w:kern w:val="0"/>
                <w:sz w:val="24"/>
                <w:lang w:val="en-US" w:eastAsia="zh-CN"/>
              </w:rPr>
              <w:t>资产</w:t>
            </w:r>
          </w:p>
        </w:tc>
        <w:tc>
          <w:tcPr>
            <w:tcW w:w="4079" w:type="dxa"/>
            <w:vAlign w:val="center"/>
          </w:tcPr>
          <w:p>
            <w:pPr>
              <w:adjustRightInd w:val="0"/>
              <w:snapToGrid w:val="0"/>
              <w:spacing w:line="240" w:lineRule="auto"/>
              <w:jc w:val="center"/>
              <w:rPr>
                <w:rFonts w:eastAsia="仿宋"/>
                <w:color w:val="000000"/>
                <w:kern w:val="0"/>
                <w:sz w:val="24"/>
              </w:rPr>
            </w:pPr>
            <w:r>
              <w:rPr>
                <w:rFonts w:hint="eastAsia" w:ascii="仿宋" w:hAnsi="仿宋" w:eastAsia="仿宋" w:cs="宋体"/>
                <w:color w:val="000000"/>
                <w:kern w:val="0"/>
                <w:sz w:val="24"/>
              </w:rPr>
              <w:t>0%-100%</w:t>
            </w:r>
          </w:p>
        </w:tc>
      </w:tr>
    </w:tbl>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理财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如资产类别及投资比例发生调整，管理人将于调整事项生效前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非因管理人主观因素导致本理财产品突破上述投资比例限制的，管理人应当在所投资的</w:t>
      </w:r>
      <w:r>
        <w:rPr>
          <w:rFonts w:hint="eastAsia" w:ascii="仿宋" w:hAnsi="仿宋" w:eastAsia="仿宋"/>
          <w:sz w:val="24"/>
        </w:rPr>
        <w:t>流动性受限资产可出售、可转让或者恢复交易的15</w:t>
      </w:r>
      <w:r>
        <w:rPr>
          <w:rFonts w:hint="eastAsia" w:ascii="仿宋" w:hAnsi="仿宋" w:eastAsia="仿宋" w:cs="宋体"/>
          <w:color w:val="000000"/>
          <w:kern w:val="0"/>
          <w:sz w:val="24"/>
        </w:rPr>
        <w:t>个工作日内将本理财产品所投资资产调整至上述投资比例范围内，监管规定的特殊情形除外。所称流动性受限资产，是指由于法律法规、监管、合同或操作障碍等原因无法以合理价格予以变现的资产，包括到期日在10个工作日以上的逆回购与银行定期存款（含协议约定有条件提前支取的银行存款）、距赎回日在10个工作日以上的资产管理产品、停牌股票、流通受限的新股及非公开发行股票、资产支持证券（票据），因发行人债务违约无法进行转让或交易的债券和非金融企业债务融资工具，以及其他流动性受限资产。</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三、理财产品管理人和托管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产品托管人为华夏银行股份有限公司。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w:t>
      </w:r>
      <w:r>
        <w:rPr>
          <w:rFonts w:hint="eastAsia" w:ascii="仿宋" w:hAnsi="仿宋" w:eastAsia="仿宋" w:cs="宋体"/>
          <w:color w:val="000000"/>
          <w:kern w:val="0"/>
          <w:sz w:val="24"/>
          <w:lang w:val="en-US" w:eastAsia="zh-CN"/>
        </w:rPr>
        <w:t>杨书剑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widowControl/>
        <w:adjustRightInd w:val="0"/>
        <w:snapToGrid w:val="0"/>
        <w:spacing w:line="276" w:lineRule="auto"/>
        <w:ind w:firstLine="480" w:firstLineChars="200"/>
        <w:contextualSpacing/>
        <w:rPr>
          <w:rFonts w:eastAsia="黑体"/>
          <w:b/>
        </w:rPr>
      </w:pPr>
      <w:r>
        <w:rPr>
          <w:rFonts w:hint="eastAsia" w:ascii="仿宋" w:hAnsi="仿宋" w:eastAsia="仿宋" w:cs="宋体"/>
          <w:color w:val="000000"/>
          <w:kern w:val="0"/>
          <w:sz w:val="24"/>
        </w:rPr>
        <w:t>(9)银行业监督管理机构规定的其他职责。</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、理财产品</w:t>
      </w:r>
      <w:r>
        <w:rPr>
          <w:rFonts w:hint="eastAsia" w:ascii="Times New Roman" w:eastAsia="黑体" w:cs="Times New Roman"/>
          <w:b/>
          <w:color w:val="auto"/>
        </w:rPr>
        <w:t>份额净值</w:t>
      </w:r>
      <w:r>
        <w:rPr>
          <w:rFonts w:ascii="Times New Roman" w:eastAsia="黑体" w:cs="Times New Roman"/>
          <w:b/>
          <w:color w:val="auto"/>
        </w:rPr>
        <w:t>的计算</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＝理财产品</w:t>
      </w:r>
      <w:r>
        <w:rPr>
          <w:rFonts w:hint="eastAsia" w:ascii="仿宋" w:hAnsi="仿宋" w:eastAsia="仿宋" w:cs="宋体"/>
          <w:color w:val="000000"/>
          <w:kern w:val="0"/>
          <w:sz w:val="24"/>
        </w:rPr>
        <w:t>资产</w:t>
      </w:r>
      <w:r>
        <w:rPr>
          <w:rFonts w:ascii="仿宋" w:hAnsi="仿宋" w:eastAsia="仿宋" w:cs="宋体"/>
          <w:color w:val="000000"/>
          <w:kern w:val="0"/>
          <w:sz w:val="24"/>
        </w:rPr>
        <w:t>净值/理财产品份额</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eastAsia="黑体"/>
          <w:b/>
        </w:rPr>
      </w:pPr>
      <w:r>
        <w:rPr>
          <w:rFonts w:ascii="仿宋" w:hAnsi="仿宋" w:eastAsia="仿宋" w:cs="宋体"/>
          <w:color w:val="000000"/>
          <w:kern w:val="0"/>
          <w:sz w:val="24"/>
        </w:rPr>
        <w:t>理财产品</w:t>
      </w:r>
      <w:r>
        <w:rPr>
          <w:rFonts w:hint="eastAsia" w:ascii="仿宋" w:hAnsi="仿宋" w:eastAsia="仿宋" w:cs="宋体"/>
          <w:color w:val="000000"/>
          <w:kern w:val="0"/>
          <w:sz w:val="24"/>
        </w:rPr>
        <w:t>份额净值</w:t>
      </w:r>
      <w:r>
        <w:rPr>
          <w:rFonts w:ascii="仿宋" w:hAnsi="仿宋" w:eastAsia="仿宋" w:cs="宋体"/>
          <w:color w:val="000000"/>
          <w:kern w:val="0"/>
          <w:sz w:val="24"/>
        </w:rPr>
        <w:t>为提取相关费用后的</w:t>
      </w:r>
      <w:r>
        <w:rPr>
          <w:rFonts w:hint="eastAsia" w:ascii="仿宋" w:hAnsi="仿宋" w:eastAsia="仿宋" w:cs="宋体"/>
          <w:color w:val="000000"/>
          <w:kern w:val="0"/>
          <w:sz w:val="24"/>
        </w:rPr>
        <w:t>份额净值</w:t>
      </w:r>
      <w:r>
        <w:rPr>
          <w:rFonts w:ascii="仿宋" w:hAnsi="仿宋" w:eastAsia="仿宋" w:cs="宋体"/>
          <w:color w:val="000000"/>
          <w:kern w:val="0"/>
          <w:sz w:val="24"/>
        </w:rPr>
        <w:t>，投资者按</w:t>
      </w:r>
      <w:r>
        <w:rPr>
          <w:rFonts w:hint="eastAsia" w:ascii="仿宋" w:hAnsi="仿宋" w:eastAsia="仿宋" w:cs="宋体"/>
          <w:color w:val="000000"/>
          <w:kern w:val="0"/>
          <w:sz w:val="24"/>
        </w:rPr>
        <w:t>该份额净值</w:t>
      </w:r>
      <w:r>
        <w:rPr>
          <w:rFonts w:ascii="仿宋" w:hAnsi="仿宋" w:eastAsia="仿宋" w:cs="宋体"/>
          <w:color w:val="000000"/>
          <w:kern w:val="0"/>
          <w:sz w:val="24"/>
        </w:rPr>
        <w:t>申购、赎回和</w:t>
      </w:r>
      <w:r>
        <w:rPr>
          <w:rFonts w:hint="eastAsia" w:ascii="仿宋" w:hAnsi="仿宋" w:eastAsia="仿宋" w:cs="宋体"/>
          <w:color w:val="000000"/>
          <w:kern w:val="0"/>
          <w:sz w:val="24"/>
        </w:rPr>
        <w:t>到期/</w:t>
      </w:r>
      <w:r>
        <w:rPr>
          <w:rFonts w:ascii="仿宋" w:hAnsi="仿宋" w:eastAsia="仿宋" w:cs="宋体"/>
          <w:color w:val="000000"/>
          <w:kern w:val="0"/>
          <w:sz w:val="24"/>
        </w:rPr>
        <w:t>终止。</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lang w:val="en-US" w:eastAsia="zh-CN"/>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投资者可通过</w:t>
      </w:r>
      <w:r>
        <w:rPr>
          <w:rFonts w:hint="eastAsia" w:ascii="仿宋" w:hAnsi="仿宋" w:eastAsia="仿宋" w:cs="宋体"/>
          <w:kern w:val="0"/>
          <w:sz w:val="24"/>
        </w:rPr>
        <w:t>华夏银行</w:t>
      </w:r>
      <w:r>
        <w:rPr>
          <w:rFonts w:hint="eastAsia" w:ascii="仿宋" w:hAnsi="仿宋" w:eastAsia="仿宋"/>
          <w:sz w:val="24"/>
        </w:rPr>
        <w:t>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lang w:val="en-US" w:eastAsia="zh-CN"/>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法律法规、监管部门另有规定的，从其规定。</w:t>
      </w:r>
    </w:p>
    <w:p>
      <w:pPr>
        <w:widowControl/>
        <w:adjustRightInd w:val="0"/>
        <w:snapToGrid w:val="0"/>
        <w:spacing w:line="276" w:lineRule="auto"/>
        <w:ind w:firstLine="480" w:firstLineChars="200"/>
        <w:contextualSpacing/>
        <w:rPr>
          <w:rFonts w:hint="eastAsia" w:ascii="仿宋" w:hAnsi="仿宋" w:eastAsia="仿宋" w:cs="宋体"/>
          <w:kern w:val="0"/>
          <w:sz w:val="24"/>
        </w:rPr>
      </w:pPr>
      <w:r>
        <w:rPr>
          <w:rFonts w:hint="eastAsia" w:ascii="仿宋" w:hAnsi="仿宋" w:eastAsia="仿宋" w:cs="宋体"/>
          <w:kern w:val="0"/>
          <w:sz w:val="24"/>
        </w:rPr>
        <w:t>3</w:t>
      </w:r>
      <w:r>
        <w:rPr>
          <w:rFonts w:hint="eastAsia" w:ascii="仿宋" w:hAnsi="仿宋" w:eastAsia="仿宋" w:cs="宋体"/>
          <w:kern w:val="0"/>
          <w:sz w:val="24"/>
          <w:lang w:val="en-US" w:eastAsia="zh-CN"/>
        </w:rPr>
        <w:t>.</w:t>
      </w:r>
      <w:r>
        <w:rPr>
          <w:rFonts w:hint="eastAsia" w:ascii="仿宋" w:hAnsi="仿宋" w:eastAsia="仿宋" w:cs="宋体"/>
          <w:kern w:val="0"/>
          <w:sz w:val="24"/>
        </w:rPr>
        <w:t>本理财产品申购和赎回采用“未知价”原则，即本产品申购申请和赎回申请提交时，适用的产品份额净值都是未知的。适用的产品份额净值</w:t>
      </w:r>
      <w:r>
        <w:rPr>
          <w:rFonts w:hint="eastAsia" w:ascii="仿宋" w:hAnsi="仿宋" w:eastAsia="仿宋" w:cs="宋体"/>
          <w:kern w:val="0"/>
          <w:sz w:val="24"/>
          <w:lang w:eastAsia="zh-CN"/>
        </w:rPr>
        <w:t>，</w:t>
      </w:r>
      <w:r>
        <w:rPr>
          <w:rFonts w:hint="eastAsia" w:ascii="仿宋" w:hAnsi="仿宋" w:eastAsia="仿宋" w:cs="宋体"/>
          <w:kern w:val="0"/>
          <w:sz w:val="24"/>
          <w:lang w:val="en-US" w:eastAsia="zh-CN"/>
        </w:rPr>
        <w:t>详见“份额净值公告日”“九、信息披露”</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6.认（申）购申请超过说明书约定的单一投资者认（申）购金额上限、或超过理财产品单日净认（申）购比例上限。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7.法律法规规定或监管机构认定的其他情形。</w:t>
      </w:r>
    </w:p>
    <w:p>
      <w:pPr>
        <w:pStyle w:val="18"/>
        <w:snapToGrid w:val="0"/>
        <w:spacing w:after="156" w:afterLines="50" w:line="400" w:lineRule="exact"/>
        <w:ind w:firstLine="480" w:firstLineChars="200"/>
        <w:jc w:val="both"/>
        <w:rPr>
          <w:rFonts w:ascii="微软简仿宋" w:hAnsi="微软简仿宋" w:eastAsia="仿宋"/>
          <w:bCs/>
          <w:szCs w:val="21"/>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w:t>
      </w:r>
      <w:r>
        <w:rPr>
          <w:rFonts w:hint="eastAsia" w:ascii="Times New Roman" w:eastAsia="黑体" w:cs="Times New Roman"/>
          <w:b/>
          <w:color w:val="auto"/>
        </w:rPr>
        <w:t>收益示例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例1：假设客户持有的本理财产品份额为200,000份，在开放日赎回100,000份，则：若产品开放日份额净值为1.1800，则客户获得的赎回金额为：100,000*1.1800=118,000.00元。</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若产品开放日份额净值为0.9980，则客户获得赎回金额为：100,000*0.9980=99,800.00元。</w:t>
      </w:r>
    </w:p>
    <w:p>
      <w:pPr>
        <w:widowControl/>
        <w:adjustRightInd w:val="0"/>
        <w:snapToGrid w:val="0"/>
        <w:spacing w:line="276" w:lineRule="auto"/>
        <w:ind w:firstLine="480" w:firstLineChars="200"/>
        <w:contextualSpacing/>
        <w:rPr>
          <w:rFonts w:ascii="仿宋" w:hAnsi="仿宋" w:eastAsia="仿宋"/>
          <w:sz w:val="24"/>
        </w:rPr>
      </w:pPr>
      <w:r>
        <w:rPr>
          <w:rFonts w:hint="eastAsia" w:ascii="仿宋" w:hAnsi="仿宋" w:eastAsia="仿宋" w:cs="宋体"/>
          <w:color w:val="000000"/>
          <w:kern w:val="0"/>
          <w:sz w:val="24"/>
        </w:rPr>
        <w:t>例2：客户在本理财产品的开放日申请购买了100,000元的本理财产品，如购买当日产品的份额净值为1.0110，则该笔购买申请确认后，该笔购买申请对应的理财产品份额为：100,000/1.0110=98,911.9</w:t>
      </w:r>
      <w:r>
        <w:rPr>
          <w:rFonts w:ascii="仿宋" w:hAnsi="仿宋" w:eastAsia="仿宋" w:cs="宋体"/>
          <w:color w:val="000000"/>
          <w:kern w:val="0"/>
          <w:sz w:val="24"/>
        </w:rPr>
        <w:t>7</w:t>
      </w:r>
      <w:r>
        <w:rPr>
          <w:rFonts w:hint="eastAsia" w:ascii="仿宋" w:hAnsi="仿宋" w:eastAsia="仿宋" w:cs="宋体"/>
          <w:color w:val="000000"/>
          <w:kern w:val="0"/>
          <w:sz w:val="24"/>
        </w:rPr>
        <w:t>份</w:t>
      </w:r>
      <w:r>
        <w:rPr>
          <w:rFonts w:hint="eastAsia" w:ascii="仿宋" w:hAnsi="仿宋" w:eastAsia="仿宋"/>
          <w:b/>
          <w:bCs/>
          <w:sz w:val="24"/>
        </w:rPr>
        <w:t>。</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上述理财产品收益分析及计算中所采用的全部为模拟数据，仅供参考，不代表本理财产品实际收益水平。收益示例不等于实际收益，投资须谨慎。</w:t>
      </w:r>
    </w:p>
    <w:p>
      <w:pPr>
        <w:autoSpaceDE w:val="0"/>
        <w:autoSpaceDN w:val="0"/>
        <w:adjustRightInd w:val="0"/>
        <w:snapToGrid w:val="0"/>
        <w:spacing w:line="276" w:lineRule="auto"/>
        <w:ind w:firstLine="482" w:firstLineChars="200"/>
        <w:contextualSpacing/>
        <w:rPr>
          <w:rFonts w:eastAsia="黑体"/>
          <w:b/>
          <w:sz w:val="24"/>
        </w:rPr>
      </w:pPr>
      <w:r>
        <w:rPr>
          <w:rFonts w:hint="eastAsia" w:eastAsia="黑体"/>
          <w:b/>
          <w:sz w:val="24"/>
        </w:rPr>
        <w:t>华夏理财郑重提示：本理财产品是非保本浮动收益净值型理财产品，不保证理财本金和收益。投资者的本金和收益可能会因市场变动等原因而蒙受损失。投资者应充分认识投资风险，谨慎投资。</w:t>
      </w:r>
    </w:p>
    <w:p>
      <w:pPr>
        <w:autoSpaceDE w:val="0"/>
        <w:autoSpaceDN w:val="0"/>
        <w:adjustRightInd w:val="0"/>
        <w:snapToGrid w:val="0"/>
        <w:spacing w:line="276" w:lineRule="auto"/>
        <w:ind w:firstLine="482" w:firstLineChars="200"/>
        <w:contextualSpacing/>
        <w:rPr>
          <w:rFonts w:eastAsia="黑体"/>
          <w:b/>
          <w:color w:val="000000"/>
          <w:sz w:val="24"/>
        </w:rPr>
      </w:pPr>
      <w:r>
        <w:rPr>
          <w:rFonts w:hint="eastAsia" w:eastAsia="黑体"/>
          <w:b/>
          <w:color w:val="000000"/>
          <w:sz w:val="24"/>
        </w:rPr>
        <w:t>最不利的投资情形：如果本理财产品投资组合内所配置资产发生损失，则投资者可能无法获得理财产品投资收益，甚至损失全部理财本金，投资者应在对此风险有充分认识基础上谨慎投资。</w:t>
      </w:r>
    </w:p>
    <w:p>
      <w:pPr>
        <w:autoSpaceDE w:val="0"/>
        <w:autoSpaceDN w:val="0"/>
        <w:adjustRightInd w:val="0"/>
        <w:snapToGrid w:val="0"/>
        <w:spacing w:line="276" w:lineRule="auto"/>
        <w:ind w:firstLine="482" w:firstLineChars="200"/>
        <w:contextualSpacing/>
        <w:rPr>
          <w:rFonts w:eastAsia="黑体"/>
          <w:b/>
        </w:rPr>
      </w:pPr>
      <w:r>
        <w:rPr>
          <w:rFonts w:hint="eastAsia" w:eastAsia="黑体"/>
          <w:b/>
          <w:color w:val="000000"/>
          <w:sz w:val="24"/>
        </w:rPr>
        <w:t>本产品说明书中的任何业绩比较基准、收益示例或类似表述均不具有法律约束力，不等于预期收益，不代表投资者可能获得的实际收益，亦不构成华夏理财/代销机构对本理财产品的任何收益承诺。</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、理财产品估值</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（一）估值对象</w:t>
      </w:r>
    </w:p>
    <w:p>
      <w:pPr>
        <w:pStyle w:val="18"/>
        <w:snapToGrid w:val="0"/>
        <w:spacing w:line="276" w:lineRule="auto"/>
        <w:ind w:firstLine="480" w:firstLineChars="200"/>
        <w:contextualSpacing/>
        <w:rPr>
          <w:rFonts w:ascii="仿宋" w:hAnsi="仿宋" w:eastAsia="仿宋"/>
        </w:rPr>
      </w:pPr>
      <w:r>
        <w:rPr>
          <w:rFonts w:hint="eastAsia" w:ascii="仿宋" w:hAnsi="仿宋" w:eastAsia="仿宋" w:cs="仿宋"/>
        </w:rPr>
        <w:t>本理财产品所投资的货币市场工具、</w:t>
      </w:r>
      <w:r>
        <w:rPr>
          <w:rFonts w:hint="eastAsia" w:ascii="仿宋" w:hAnsi="仿宋" w:eastAsia="仿宋" w:cs="仿宋"/>
          <w:lang w:val="en-US" w:eastAsia="zh-CN"/>
        </w:rPr>
        <w:t>标准化债权类</w:t>
      </w:r>
      <w:r>
        <w:rPr>
          <w:rFonts w:hint="eastAsia" w:ascii="仿宋" w:hAnsi="仿宋" w:eastAsia="仿宋" w:cs="仿宋"/>
        </w:rPr>
        <w:t>资产以及资产管理产品等资产。</w:t>
      </w:r>
    </w:p>
    <w:p>
      <w:pPr>
        <w:pStyle w:val="18"/>
        <w:snapToGrid w:val="0"/>
        <w:spacing w:line="276" w:lineRule="auto"/>
        <w:ind w:firstLine="480" w:firstLineChars="200"/>
        <w:contextualSpacing/>
        <w:outlineLvl w:val="1"/>
        <w:rPr>
          <w:rFonts w:ascii="仿宋" w:hAnsi="仿宋" w:eastAsia="仿宋"/>
          <w:color w:val="auto"/>
        </w:rPr>
      </w:pPr>
      <w:r>
        <w:rPr>
          <w:rFonts w:hint="eastAsia" w:ascii="仿宋" w:hAnsi="仿宋" w:eastAsia="仿宋"/>
          <w:color w:val="auto"/>
        </w:rPr>
        <w:t>（二）估值原则</w:t>
      </w:r>
    </w:p>
    <w:p>
      <w:pPr>
        <w:pStyle w:val="18"/>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（三）估值方法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 证券交易所上市的有价证券</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交易所上市的有价证券（包括股票等），以其估值日在证券交易所挂牌的市价（收盘价）估值；估值日无交易的，且最近交易日后经济环境未发生重大变化或证券发行机构未发生影响证券价格的重大事件的，以最近交易日的市价（收盘价）估值；如最近交易日后经济环境发生了重大变化或证券发行机构发生影响证券价格的重大事件的，可参考类似投资品种的现行市价及重大变化因素，调整最近交易市价，确定公允价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在交易所上市交易或挂牌转让的固定收益品种，采用中证指数有限公司提供的估值价确定公允价值。若中证指数有限公司未提供价格数据，应采用估值技术确认公允价值，或者采用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在交易所市场上市的含有转股权的债券（如可转换债券、可交换债券等）等，选取每日收盘价减去所含的应收利息得到的净价进行估值。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 处于未上市期间的有价证券应区分如下情况处理：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（1）送股、转增股、配股和公开增发的新股，按估值日在证券交易所挂牌的同一股票的市价（收盘价）估值；该日无交易的，以最近一日的市价（收盘价）估值；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（2）首次公开发行未上市的股票、债券和权证，采用估值技术确定公允价值，在估值技术难以可靠计量公允价值的情况下，采用管理人和托管人共同认可的第三方机构提供的估值，或双方共同认可的估值；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（3）优先股采用估值技术确认公允价值，在估值技术难以可靠计量公允价值的情况下，采用管理人和托管人共同认可的第三方机构提供的估值，或双方共同认可的估值；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流通受限股票，包括但不限于非公开发行股票、公开发行有一定锁定期的股票、首次公开发行股票时公司股东公开发售股份、通过大宗交易取得的带限售期的股票等，不包括停牌、新发行未上市、回购交易中的质押券等流通受限股票，应以证券交易所上市交易的同一股票的公允价值为基础，引入第三方机构提供的流动性折扣进行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 全国银行间债券市场交易的债券、资产支持证券等固定收益品种，采用中债金融估值中心有限公司提供的估值价确定公允价值。若中债金融估值中心有限公司未提供价格数据，应采用估值技术确认公允价值，或者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 同一债券同时在两个或两个以上市场交易的，按债券所处的市场分别估值。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5. 证券投资基金的估值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（1）场外申赎的开放式非货币基金以估值日可获取的基金管理人公布的最新基金份额净值估值；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（2）上市流通的证券投资基金（包括场内买入的ETF、封闭式基金、上市定期开放式基金）按估值日其所在证券交易所的收盘价估值；估值日无交易的，以最近一个交易日的收盘价估值；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w:t>
      </w:r>
      <w:r>
        <w:rPr>
          <w:rFonts w:hint="eastAsia" w:ascii="仿宋" w:hAnsi="仿宋" w:eastAsia="仿宋"/>
          <w:color w:val="auto"/>
        </w:rPr>
        <w:t>货币基金以估值日可获取的基金管理人公布的最新万份收益计提红利</w:t>
      </w:r>
      <w:r>
        <w:rPr>
          <w:rFonts w:hint="eastAsia" w:ascii="仿宋" w:hAnsi="仿宋" w:eastAsia="仿宋"/>
        </w:rPr>
        <w:t>。</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6. 银行存款（活期、定期）及证券资金账户存款以本金列示，按照约定利率在持有期内逐日计提应收利息，在利息到账日以实收利息入账；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7. 债券回购和具有固定回报的买入返售金融资产：以买入/外放成本列示，按约定收益率逐日计提收益；在上述表述无法真实反映公允价值的情况下，按照国家法律、法规和部门规章的最新规定进行合理的会计处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8. 期货以估值日期货交易所的当日结算价估值，估值当日无结算价的，且最近交易日后经济环境未发生重大变化的，采用最近交易日结算价估值。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9. 汇率估值方法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若沪港通和深港通估值计算中涉及港币的，将以中国人民银行授权中国外汇交易中心估值日公布的港币对人民币汇率中间价估值。涉及其他货币的，如中国人民银行授权中国外汇交易中心估值日提供了该币种兑人民币的汇率，则取该汇率，如未有提供，以双方协商一致的原则确定汇率。</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10. 场内期权以估值日交易所的结算价估值，该日无交易的，以最近一日的结算价为准。</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11. 非标准化债权类资产采用估值技术确认公允价值，在估值技术难以可靠计量公允价值的情况下，按照管理人和托管人共同认可的估值。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12.以摊余成本法计量或以公允价值计量且其变动计入其他综合收益的资产，需按照会计准则规定采用合理的减值计量模型或第三方减值计量结果进行减值计提。计提减值不等同于金融资产已发生损失，仅为对未来风险的审慎预期。</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13. 本系列产品所投资的资产管理产品以估值日公布的产品单位净值进行估值，估值日产品单位净值未公布的，以最近一个工作日产品单位净值计算。</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14. 相关法律法规以及监管部门有强制规定的，从其规定。如有新增事项或变更事项，依法按最新规定计算。没有相关规定的，由产品管理人与托管人协商确定计算方法。</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15. 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8"/>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（四）暂停</w:t>
      </w:r>
      <w:r>
        <w:rPr>
          <w:rFonts w:ascii="仿宋" w:hAnsi="仿宋" w:eastAsia="仿宋" w:cs="宋体"/>
          <w:color w:val="000000"/>
          <w:kern w:val="0"/>
          <w:sz w:val="24"/>
        </w:rPr>
        <w:t>估值</w:t>
      </w:r>
    </w:p>
    <w:p>
      <w:pPr>
        <w:pStyle w:val="18"/>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3.占前一估值日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8"/>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（五）</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8"/>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估值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在法律法规允许的范围内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风险揭示</w:t>
      </w:r>
    </w:p>
    <w:p>
      <w:pPr>
        <w:pStyle w:val="18"/>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资产管理计划管理人、信托受托人、债务人、担保人（如有）等相关主体发生违约，可能导致无法按时支付本金及理财收益，进而导致本理财产品收益为零甚至本金遭受损失。</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以及国家政策等的变动导致本理财产品净值遭受损失的可能。</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。除本产品说明书规定情形以外，</w:t>
      </w:r>
      <w:r>
        <w:rPr>
          <w:rFonts w:eastAsia="黑体"/>
          <w:b/>
        </w:rPr>
        <w:t>封闭期内</w:t>
      </w:r>
      <w:r>
        <w:rPr>
          <w:rFonts w:hint="eastAsia" w:eastAsia="黑体"/>
          <w:b/>
        </w:rPr>
        <w:t>管理人</w:t>
      </w:r>
      <w:r>
        <w:rPr>
          <w:rFonts w:eastAsia="黑体"/>
          <w:b/>
        </w:rPr>
        <w:t>不受理</w:t>
      </w:r>
      <w:r>
        <w:rPr>
          <w:rFonts w:hint="eastAsia" w:eastAsia="黑体"/>
          <w:b/>
        </w:rPr>
        <w:t>投资者</w:t>
      </w:r>
      <w:r>
        <w:rPr>
          <w:rFonts w:eastAsia="黑体"/>
          <w:b/>
        </w:rPr>
        <w:t>任何形式的提前赎回申请。以上情形均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8"/>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8"/>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信托受托人、债务人、担保人（如有）等主体发生违约，导致本理财产品不能按时偿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8"/>
        <w:snapToGrid w:val="0"/>
        <w:spacing w:line="276" w:lineRule="auto"/>
        <w:ind w:firstLine="482"/>
        <w:contextualSpacing/>
        <w:rPr>
          <w:rFonts w:ascii="Times New Roman" w:eastAsia="黑体" w:cs="Times New Roman"/>
          <w:b/>
          <w:color w:val="auto"/>
        </w:rPr>
      </w:pPr>
      <w:r>
        <w:rPr>
          <w:rFonts w:hint="eastAsia" w:ascii="Times New Roman" w:eastAsia="黑体" w:cs="Times New Roman"/>
          <w:b/>
        </w:rPr>
        <w:t>（十二）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（十三）拟投资市场及资产的流动性风险评估</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本理财产品如投资于非标准化债权资产，将严格执行监管有关限额管理、流动性管理等监管标准要求，防范并控制集中度和期限错配等风险。</w:t>
      </w:r>
    </w:p>
    <w:p>
      <w:pPr>
        <w:pStyle w:val="18"/>
        <w:snapToGrid w:val="0"/>
        <w:spacing w:line="276" w:lineRule="auto"/>
        <w:ind w:firstLine="482" w:firstLineChars="200"/>
        <w:contextualSpacing/>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（十四）流动性应对措施及对投资者的潜在影响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1．认（申）购风险应对措施及对投资者的潜在影响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五、认购、申购、赎回”。</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2．赎回风险应对措施及对投资者的潜在影响</w:t>
      </w:r>
    </w:p>
    <w:p>
      <w:pPr>
        <w:pStyle w:val="18"/>
        <w:snapToGrid w:val="0"/>
        <w:spacing w:line="276" w:lineRule="auto"/>
        <w:ind w:firstLine="482" w:firstLineChars="200"/>
        <w:contextualSpacing/>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摆动定价，以及监管机构规定的其他风险应对措施。具体详见本理财产品说明书“一、产品概述”及“五、认购、申购、赎回”。</w:t>
      </w:r>
    </w:p>
    <w:p>
      <w:pPr>
        <w:pStyle w:val="18"/>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8"/>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8"/>
        <w:snapToGrid w:val="0"/>
        <w:spacing w:line="276" w:lineRule="auto"/>
        <w:ind w:firstLine="482" w:firstLineChars="200"/>
        <w:contextualSpacing/>
        <w:jc w:val="both"/>
        <w:rPr>
          <w:rFonts w:hint="eastAsia" w:ascii="Times New Roman" w:eastAsia="黑体" w:cs="Times New Roman"/>
          <w:b/>
          <w:lang w:eastAsia="zh-CN"/>
        </w:rPr>
      </w:pPr>
      <w:r>
        <w:rPr>
          <w:rFonts w:hint="eastAsia" w:ascii="Times New Roman" w:eastAsia="黑体" w:cs="Times New Roman"/>
          <w:b/>
          <w:lang w:eastAsia="zh-CN"/>
        </w:rPr>
        <w:t>（</w:t>
      </w:r>
      <w:r>
        <w:rPr>
          <w:rFonts w:hint="eastAsia" w:ascii="Times New Roman" w:eastAsia="黑体" w:cs="Times New Roman"/>
          <w:b/>
          <w:lang w:val="en-US" w:eastAsia="zh-CN"/>
        </w:rPr>
        <w:t>十六</w:t>
      </w:r>
      <w:r>
        <w:rPr>
          <w:rFonts w:hint="eastAsia" w:ascii="Times New Roman" w:eastAsia="黑体" w:cs="Times New Roman"/>
          <w:b/>
          <w:lang w:eastAsia="zh-CN"/>
        </w:rPr>
        <w:t>）</w:t>
      </w:r>
      <w:r>
        <w:rPr>
          <w:rFonts w:hint="eastAsia" w:ascii="Times New Roman" w:eastAsia="黑体" w:cs="Times New Roman"/>
          <w:b/>
        </w:rPr>
        <w:t>本产品特有风险说明</w:t>
      </w:r>
    </w:p>
    <w:p>
      <w:pPr>
        <w:pStyle w:val="18"/>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本产品由于</w:t>
      </w:r>
      <w:r>
        <w:rPr>
          <w:rFonts w:hint="eastAsia" w:ascii="Times New Roman" w:eastAsia="黑体" w:cs="Times New Roman"/>
          <w:b/>
          <w:lang w:val="en-US" w:eastAsia="zh-CN"/>
        </w:rPr>
        <w:t>投资于货币市场工具、标准化债权类资产等</w:t>
      </w:r>
      <w:r>
        <w:rPr>
          <w:rFonts w:hint="eastAsia" w:ascii="Times New Roman" w:hAnsi="Times New Roman" w:eastAsia="黑体" w:cs="Times New Roman"/>
          <w:b/>
          <w:color w:val="000000"/>
          <w:kern w:val="0"/>
          <w:sz w:val="24"/>
        </w:rPr>
        <w:t>固定收益类资产</w:t>
      </w:r>
      <w:r>
        <w:rPr>
          <w:rFonts w:hint="eastAsia" w:ascii="Times New Roman" w:eastAsia="黑体" w:cs="Times New Roman"/>
          <w:b/>
        </w:rPr>
        <w:t>，因此可能面临如下特定风险：</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hAnsi="Times New Roman" w:eastAsia="黑体" w:cs="Times New Roman"/>
          <w:b/>
          <w:kern w:val="0"/>
          <w:sz w:val="24"/>
          <w:szCs w:val="24"/>
          <w:lang w:val="en-US" w:eastAsia="zh-CN" w:bidi="ar-SA"/>
        </w:rPr>
        <w:t>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w:t>
      </w:r>
      <w:r>
        <w:rPr>
          <w:rFonts w:hint="eastAsia" w:ascii="Times New Roman" w:eastAsia="黑体" w:cs="Times New Roman"/>
          <w:b/>
          <w:kern w:val="0"/>
          <w:sz w:val="24"/>
          <w:szCs w:val="24"/>
          <w:lang w:val="en-US" w:eastAsia="zh-CN" w:bidi="ar-SA"/>
        </w:rPr>
        <w:t>（5）</w:t>
      </w:r>
      <w:r>
        <w:rPr>
          <w:rFonts w:hint="eastAsia" w:ascii="Times New Roman" w:hAnsi="Times New Roman" w:eastAsia="黑体" w:cs="Times New Roman"/>
          <w:b/>
          <w:kern w:val="0"/>
          <w:sz w:val="24"/>
          <w:szCs w:val="24"/>
          <w:lang w:val="en-US" w:eastAsia="zh-CN" w:bidi="ar-SA"/>
        </w:rPr>
        <w:t>债券市场出现整体下跌，导致债券市场的系统性风险等。（6）</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交换债券投资风险（如有）：</w:t>
      </w:r>
      <w:r>
        <w:rPr>
          <w:rFonts w:hint="eastAsia" w:ascii="Times New Roman" w:hAnsi="Times New Roman" w:eastAsia="黑体" w:cs="Times New Roman"/>
          <w:b/>
          <w:kern w:val="0"/>
          <w:sz w:val="24"/>
          <w:szCs w:val="24"/>
          <w:lang w:val="en-US" w:eastAsia="zh-CN"/>
        </w:rPr>
        <w:t>A、</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交换债券收益与对应标的股票股价直接挂钩，</w:t>
      </w:r>
      <w:r>
        <w:rPr>
          <w:rFonts w:hint="eastAsia" w:ascii="Times New Roman" w:hAnsi="Times New Roman" w:eastAsia="黑体" w:cs="Times New Roman"/>
          <w:b/>
          <w:kern w:val="0"/>
          <w:sz w:val="24"/>
          <w:szCs w:val="24"/>
          <w:lang w:val="en-US" w:eastAsia="zh-CN"/>
        </w:rPr>
        <w:t>债券价格</w:t>
      </w:r>
      <w:r>
        <w:rPr>
          <w:rFonts w:hint="eastAsia" w:ascii="Times New Roman" w:hAnsi="Times New Roman" w:eastAsia="黑体" w:cs="Times New Roman"/>
          <w:b/>
          <w:kern w:val="0"/>
          <w:sz w:val="24"/>
          <w:szCs w:val="24"/>
        </w:rPr>
        <w:t>可能受</w:t>
      </w:r>
      <w:r>
        <w:rPr>
          <w:rFonts w:hint="eastAsia" w:ascii="Times New Roman" w:hAnsi="Times New Roman" w:eastAsia="黑体" w:cs="Times New Roman"/>
          <w:b/>
          <w:kern w:val="0"/>
          <w:sz w:val="24"/>
          <w:szCs w:val="24"/>
          <w:lang w:val="en-US" w:eastAsia="zh-CN"/>
        </w:rPr>
        <w:t>之</w:t>
      </w:r>
      <w:r>
        <w:rPr>
          <w:rFonts w:hint="eastAsia" w:ascii="Times New Roman" w:hAnsi="Times New Roman" w:eastAsia="黑体" w:cs="Times New Roman"/>
          <w:b/>
          <w:kern w:val="0"/>
          <w:sz w:val="24"/>
          <w:szCs w:val="24"/>
        </w:rPr>
        <w:t>影响；</w:t>
      </w:r>
      <w:r>
        <w:rPr>
          <w:rFonts w:hint="eastAsia" w:ascii="Times New Roman" w:hAnsi="Times New Roman" w:eastAsia="黑体" w:cs="Times New Roman"/>
          <w:b/>
          <w:kern w:val="0"/>
          <w:sz w:val="24"/>
          <w:szCs w:val="24"/>
          <w:lang w:val="en-US" w:eastAsia="zh-CN"/>
        </w:rPr>
        <w:t>B、</w:t>
      </w:r>
      <w:r>
        <w:rPr>
          <w:rFonts w:hint="eastAsia" w:ascii="Times New Roman" w:hAnsi="Times New Roman" w:eastAsia="黑体" w:cs="Times New Roman"/>
          <w:b/>
          <w:kern w:val="0"/>
          <w:sz w:val="24"/>
          <w:szCs w:val="24"/>
        </w:rPr>
        <w:t>转股期内，对应标的股票价格可能低于转股价格，若选择转股，产品将承受标的股票价格低于转股价格之间的价差；</w:t>
      </w:r>
      <w:r>
        <w:rPr>
          <w:rFonts w:hint="eastAsia" w:ascii="Times New Roman" w:hAnsi="Times New Roman" w:eastAsia="黑体" w:cs="Times New Roman"/>
          <w:b/>
          <w:kern w:val="0"/>
          <w:sz w:val="24"/>
          <w:szCs w:val="24"/>
          <w:lang w:val="en-US" w:eastAsia="zh-CN"/>
        </w:rPr>
        <w:t>C、</w:t>
      </w:r>
      <w:r>
        <w:rPr>
          <w:rFonts w:hint="eastAsia" w:ascii="Times New Roman" w:hAnsi="Times New Roman" w:eastAsia="黑体" w:cs="Times New Roman"/>
          <w:b/>
          <w:kern w:val="0"/>
          <w:sz w:val="24"/>
          <w:szCs w:val="24"/>
        </w:rPr>
        <w:t>转股价格向下修正条款触发时，存在发行方</w:t>
      </w:r>
      <w:r>
        <w:rPr>
          <w:rFonts w:hint="eastAsia" w:ascii="Times New Roman" w:hAnsi="Times New Roman" w:eastAsia="黑体" w:cs="Times New Roman"/>
          <w:b/>
          <w:kern w:val="0"/>
          <w:sz w:val="24"/>
          <w:szCs w:val="24"/>
          <w:lang w:val="en-US" w:eastAsia="zh-CN"/>
        </w:rPr>
        <w:t>不</w:t>
      </w:r>
      <w:r>
        <w:rPr>
          <w:rFonts w:hint="eastAsia" w:ascii="Times New Roman" w:hAnsi="Times New Roman" w:eastAsia="黑体" w:cs="Times New Roman"/>
          <w:b/>
          <w:kern w:val="0"/>
          <w:sz w:val="24"/>
          <w:szCs w:val="24"/>
        </w:rPr>
        <w:t>同意修正转股价格的风险；</w:t>
      </w:r>
      <w:r>
        <w:rPr>
          <w:rFonts w:hint="eastAsia" w:ascii="Times New Roman" w:hAnsi="Times New Roman" w:eastAsia="黑体" w:cs="Times New Roman"/>
          <w:b/>
          <w:kern w:val="0"/>
          <w:sz w:val="24"/>
          <w:szCs w:val="24"/>
          <w:lang w:val="en-US" w:eastAsia="zh-CN"/>
        </w:rPr>
        <w:t>D、</w:t>
      </w:r>
      <w:r>
        <w:rPr>
          <w:rFonts w:hint="eastAsia" w:ascii="Times New Roman" w:hAnsi="Times New Roman" w:eastAsia="黑体" w:cs="Times New Roman"/>
          <w:b/>
          <w:kern w:val="0"/>
          <w:sz w:val="24"/>
          <w:szCs w:val="24"/>
        </w:rPr>
        <w:t>赎回条款可能导致债券提前兑付或转股期缩短而影响投资收益的风险；</w:t>
      </w:r>
      <w:r>
        <w:rPr>
          <w:rFonts w:hint="eastAsia" w:ascii="Times New Roman" w:hAnsi="Times New Roman" w:eastAsia="黑体" w:cs="Times New Roman"/>
          <w:b/>
          <w:kern w:val="0"/>
          <w:sz w:val="24"/>
          <w:szCs w:val="24"/>
          <w:lang w:val="en-US" w:eastAsia="zh-CN"/>
        </w:rPr>
        <w:t>E、</w:t>
      </w:r>
      <w:r>
        <w:rPr>
          <w:rFonts w:hint="eastAsia" w:ascii="Times New Roman" w:hAnsi="Times New Roman" w:eastAsia="黑体" w:cs="Times New Roman"/>
          <w:b/>
          <w:kern w:val="0"/>
          <w:sz w:val="24"/>
          <w:szCs w:val="24"/>
        </w:rPr>
        <w:t>存在因政策限制导致无法转股的风险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可转</w:t>
      </w:r>
      <w:r>
        <w:rPr>
          <w:rFonts w:hint="eastAsia" w:ascii="Times New Roman" w:hAnsi="Times New Roman" w:eastAsia="黑体" w:cs="Times New Roman"/>
          <w:b/>
          <w:kern w:val="0"/>
          <w:sz w:val="24"/>
          <w:szCs w:val="24"/>
          <w:lang w:val="en-US" w:eastAsia="zh-CN"/>
        </w:rPr>
        <w:t>/</w:t>
      </w:r>
      <w:r>
        <w:rPr>
          <w:rFonts w:hint="eastAsia" w:ascii="Times New Roman" w:hAnsi="Times New Roman" w:eastAsia="黑体" w:cs="Times New Roman"/>
          <w:b/>
          <w:kern w:val="0"/>
          <w:sz w:val="24"/>
          <w:szCs w:val="24"/>
        </w:rPr>
        <w:t>交换债券投资受到包括但不限于上述因素影响时，可能影响投资者收益，甚至使产品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遭受损失</w:t>
      </w:r>
      <w:r>
        <w:rPr>
          <w:rFonts w:hint="eastAsia" w:ascii="Times New Roman" w:eastAsia="黑体" w:cs="Times New Roman"/>
          <w:b/>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kern w:val="0"/>
          <w:sz w:val="24"/>
          <w:szCs w:val="24"/>
        </w:rPr>
        <w:t xml:space="preserve">。 </w:t>
      </w:r>
    </w:p>
    <w:p>
      <w:pPr>
        <w:pStyle w:val="18"/>
        <w:snapToGrid w:val="0"/>
        <w:spacing w:line="276" w:lineRule="auto"/>
        <w:ind w:firstLine="482"/>
        <w:contextualSpacing/>
        <w:jc w:val="both"/>
        <w:rPr>
          <w:rFonts w:hint="eastAsia" w:ascii="Times New Roman" w:hAnsi="Times New Roman" w:eastAsia="黑体" w:cs="Times New Roman"/>
          <w:b/>
          <w:i w:val="0"/>
          <w:iCs w:val="0"/>
          <w:caps w:val="0"/>
          <w:color w:val="000000"/>
          <w:spacing w:val="0"/>
          <w:sz w:val="24"/>
          <w:szCs w:val="24"/>
          <w:shd w:val="clear" w:color="0A0000" w:fill="auto"/>
          <w:lang w:val="en-US"/>
        </w:rPr>
      </w:pP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rPr>
        <w:t>投资于资产支持证券的</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资产支持证券的投资收益取决于</w:t>
      </w:r>
      <w:r>
        <w:rPr>
          <w:rFonts w:hint="eastAsia" w:ascii="Times New Roman" w:hAnsi="Times New Roman" w:eastAsia="黑体" w:cs="Times New Roman"/>
          <w:b/>
          <w:kern w:val="0"/>
          <w:sz w:val="24"/>
          <w:szCs w:val="24"/>
          <w:lang w:val="en-US" w:eastAsia="zh-CN"/>
        </w:rPr>
        <w:t>项下</w:t>
      </w:r>
      <w:r>
        <w:rPr>
          <w:rFonts w:hint="eastAsia" w:ascii="Times New Roman" w:hAnsi="Times New Roman" w:eastAsia="黑体" w:cs="Times New Roman"/>
          <w:b/>
          <w:kern w:val="0"/>
          <w:sz w:val="24"/>
          <w:szCs w:val="24"/>
        </w:rPr>
        <w:t>基础资产情况，如该基础资产发生原始权益人</w:t>
      </w:r>
      <w:r>
        <w:rPr>
          <w:rFonts w:hint="eastAsia" w:ascii="Times New Roman" w:hAnsi="Times New Roman" w:eastAsia="黑体" w:cs="Times New Roman"/>
          <w:b/>
          <w:kern w:val="0"/>
          <w:sz w:val="24"/>
          <w:szCs w:val="24"/>
          <w:lang w:val="en-US" w:eastAsia="zh-CN"/>
        </w:rPr>
        <w:t>偿债能力变化、</w:t>
      </w:r>
      <w:r>
        <w:rPr>
          <w:rFonts w:hint="eastAsia" w:ascii="Times New Roman" w:hAnsi="Times New Roman" w:eastAsia="黑体" w:cs="Times New Roman"/>
          <w:b/>
          <w:kern w:val="0"/>
          <w:sz w:val="24"/>
          <w:szCs w:val="24"/>
        </w:rPr>
        <w:t>破产或基础资产项下现金流未能及时完整</w:t>
      </w:r>
      <w:r>
        <w:rPr>
          <w:rFonts w:hint="eastAsia" w:ascii="Times New Roman" w:hAnsi="Times New Roman" w:eastAsia="黑体" w:cs="Times New Roman"/>
          <w:b/>
          <w:kern w:val="0"/>
          <w:sz w:val="24"/>
          <w:szCs w:val="24"/>
          <w:lang w:val="en-US" w:eastAsia="zh-CN"/>
        </w:rPr>
        <w:t>获</w:t>
      </w:r>
      <w:r>
        <w:rPr>
          <w:rFonts w:hint="eastAsia" w:ascii="Times New Roman" w:hAnsi="Times New Roman" w:eastAsia="黑体" w:cs="Times New Roman"/>
          <w:b/>
          <w:kern w:val="0"/>
          <w:sz w:val="24"/>
          <w:szCs w:val="24"/>
        </w:rPr>
        <w:t>得等情况，资产支持证券的收益将受到影响</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资产支持证券的流动性较低，可能影响投资者收益，甚至使产品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snapToGrid w:val="0"/>
        <w:spacing w:line="276" w:lineRule="auto"/>
        <w:ind w:firstLine="482"/>
        <w:contextualSpacing/>
        <w:rPr>
          <w:rFonts w:hint="eastAsia" w:ascii="Times New Roman" w:eastAsia="黑体" w:cs="Times New Roman"/>
          <w:b/>
          <w:lang w:val="en-US" w:eastAsia="zh-CN"/>
        </w:rPr>
      </w:pPr>
      <w:r>
        <w:rPr>
          <w:rFonts w:hint="eastAsia" w:ascii="Times New Roman" w:hAnsi="Times New Roman" w:eastAsia="黑体" w:cs="Times New Roman"/>
          <w:b/>
          <w:kern w:val="0"/>
          <w:sz w:val="24"/>
          <w:szCs w:val="24"/>
          <w:lang w:val="en-US" w:eastAsia="zh-CN" w:bidi="ar-SA"/>
        </w:rPr>
        <w:t>3.投资于存款类资产的可能风险：本产品拟投资的存款类资产在极端情况下可能面临被拒绝支取、因提前支取而被收取罚息等费用的风险，从而影响投资者收益，甚至使本产品本金遭受损失。</w:t>
      </w:r>
    </w:p>
    <w:p>
      <w:pPr>
        <w:pStyle w:val="18"/>
        <w:snapToGrid w:val="0"/>
        <w:spacing w:line="276" w:lineRule="auto"/>
        <w:ind w:firstLine="482"/>
        <w:contextualSpacing/>
        <w:jc w:val="both"/>
        <w:rPr>
          <w:rFonts w:hint="eastAsia" w:ascii="Times New Roman" w:hAnsi="Times New Roman" w:eastAsia="黑体" w:cs="Times New Roman"/>
          <w:b/>
          <w:kern w:val="0"/>
          <w:sz w:val="24"/>
          <w:szCs w:val="24"/>
          <w:lang w:val="en-US" w:eastAsia="zh-CN" w:bidi="ar-SA"/>
        </w:rPr>
      </w:pPr>
      <w:r>
        <w:rPr>
          <w:rFonts w:hint="eastAsia" w:asci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rPr>
        <w:t>投资于结构性存款的</w:t>
      </w:r>
      <w:r>
        <w:rPr>
          <w:rFonts w:hint="eastAsia" w:asci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1</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市场风险。结构性存款挂钩的境内外债券、股票、利率、汇率、指数等标的受相关国家或地区的金融市场和经济趋势的影响，收益存在不确定性。</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2</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信用风险。结构性存款</w:t>
      </w:r>
      <w:r>
        <w:rPr>
          <w:rFonts w:hint="eastAsia" w:ascii="Times New Roman" w:hAnsi="Times New Roman" w:eastAsia="黑体" w:cs="Times New Roman"/>
          <w:b/>
          <w:kern w:val="0"/>
          <w:sz w:val="24"/>
          <w:szCs w:val="24"/>
          <w:lang w:val="en-US" w:eastAsia="zh-CN"/>
        </w:rPr>
        <w:t>可能</w:t>
      </w:r>
      <w:r>
        <w:rPr>
          <w:rFonts w:hint="eastAsia" w:ascii="Times New Roman" w:hAnsi="Times New Roman" w:eastAsia="黑体" w:cs="Times New Roman"/>
          <w:b/>
          <w:kern w:val="0"/>
          <w:sz w:val="24"/>
          <w:szCs w:val="24"/>
        </w:rPr>
        <w:t>面临交易对手银行无力偿付或未履行该结构性存款相关义务（含支付义务）的风险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同时结构性存款挂钩的标的如果出现信用违约，结构性存款的本金与收益也会受到影响，在最不利的情况下可能损失全部本金。</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3</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利率风险。结构性存款如挂钩特定债券或债券指数，可能因相关利率变动而导致产品收益发生变化。</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4</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汇率风险。结构性存款如挂钩境外证券资产，可能面临以非人民币计价的各类资产受汇率波动影响而引起人民币估值下的理财产品资产净值波动的风险。</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lang w:val="en-US" w:eastAsia="zh-CN"/>
        </w:rPr>
        <w:t>5</w:t>
      </w:r>
      <w:r>
        <w:rPr>
          <w:rFonts w:hint="eastAsia" w:ascii="Times New Roman" w:hAnsi="Times New Roman" w:eastAsia="黑体" w:cs="Times New Roman"/>
          <w:b/>
          <w:kern w:val="0"/>
          <w:sz w:val="24"/>
          <w:szCs w:val="24"/>
          <w:lang w:eastAsia="zh-CN"/>
        </w:rPr>
        <w:t>）</w:t>
      </w:r>
      <w:r>
        <w:rPr>
          <w:rFonts w:hint="eastAsia" w:ascii="Times New Roman" w:hAnsi="Times New Roman" w:eastAsia="黑体" w:cs="Times New Roman"/>
          <w:b/>
          <w:kern w:val="0"/>
          <w:sz w:val="24"/>
          <w:szCs w:val="24"/>
        </w:rPr>
        <w:t>衍生品投资风险。结构性存款所嵌入的金融衍生工具，可能存在</w:t>
      </w:r>
      <w:r>
        <w:rPr>
          <w:rFonts w:hint="eastAsia" w:ascii="Times New Roman" w:hAnsi="Times New Roman" w:eastAsia="黑体" w:cs="Times New Roman"/>
          <w:b/>
          <w:kern w:val="0"/>
          <w:sz w:val="24"/>
          <w:szCs w:val="24"/>
          <w:lang w:val="en-US" w:eastAsia="zh-CN"/>
        </w:rPr>
        <w:t>杠杆</w:t>
      </w:r>
      <w:r>
        <w:rPr>
          <w:rFonts w:hint="eastAsia" w:ascii="Times New Roman" w:hAnsi="Times New Roman" w:eastAsia="黑体" w:cs="Times New Roman"/>
          <w:b/>
          <w:kern w:val="0"/>
          <w:sz w:val="24"/>
          <w:szCs w:val="24"/>
        </w:rPr>
        <w:t>风险、操作风险、交易对手的信用风险、衍生品价格与其基础品种的相关度变化带来的风险等。</w:t>
      </w:r>
      <w:r>
        <w:rPr>
          <w:rFonts w:hint="eastAsia" w:ascii="Times New Roman" w:hAnsi="Times New Roman" w:eastAsia="黑体" w:cs="Times New Roman"/>
          <w:b/>
          <w:kern w:val="0"/>
          <w:sz w:val="24"/>
          <w:szCs w:val="24"/>
          <w:lang w:val="en-US" w:eastAsia="zh-CN"/>
        </w:rPr>
        <w:t>以上风险事项若发现，可能</w:t>
      </w:r>
      <w:r>
        <w:rPr>
          <w:rFonts w:hint="eastAsia" w:ascii="Times New Roman" w:hAnsi="Times New Roman" w:eastAsia="黑体" w:cs="Times New Roman"/>
          <w:b/>
          <w:kern w:val="0"/>
          <w:sz w:val="24"/>
          <w:szCs w:val="24"/>
        </w:rPr>
        <w:t>可能影响投资者收益，甚至使产品</w:t>
      </w:r>
      <w:r>
        <w:rPr>
          <w:rFonts w:hint="eastAsia" w:ascii="Times New Roman" w:hAnsi="Times New Roman" w:eastAsia="黑体" w:cs="Times New Roman"/>
          <w:b/>
          <w:kern w:val="0"/>
          <w:sz w:val="24"/>
          <w:szCs w:val="24"/>
          <w:lang w:val="en-US" w:eastAsia="zh-CN"/>
        </w:rPr>
        <w:t>本金</w:t>
      </w:r>
      <w:r>
        <w:rPr>
          <w:rFonts w:hint="eastAsia" w:ascii="Times New Roman" w:hAnsi="Times New Roman" w:eastAsia="黑体" w:cs="Times New Roman"/>
          <w:b/>
          <w:kern w:val="0"/>
          <w:sz w:val="24"/>
          <w:szCs w:val="24"/>
        </w:rPr>
        <w:t xml:space="preserve">遭受损失。 </w:t>
      </w:r>
    </w:p>
    <w:p>
      <w:pPr>
        <w:pStyle w:val="18"/>
        <w:numPr>
          <w:ilvl w:val="0"/>
          <w:numId w:val="0"/>
        </w:numPr>
        <w:snapToGrid w:val="0"/>
        <w:spacing w:line="276" w:lineRule="auto"/>
        <w:ind w:firstLine="0" w:firstLineChars="0"/>
        <w:contextualSpacing/>
        <w:jc w:val="both"/>
        <w:rPr>
          <w:rFonts w:hint="eastAsia" w:ascii="Times New Roman" w:eastAsia="黑体" w:cs="Times New Roman"/>
          <w:b/>
          <w:lang w:val="en-US" w:eastAsia="zh-CN"/>
        </w:rPr>
      </w:pPr>
      <w:r>
        <w:rPr>
          <w:rFonts w:hint="eastAsia" w:ascii="Times New Roman" w:eastAsia="黑体" w:cs="Times New Roman"/>
          <w:b/>
          <w:kern w:val="0"/>
          <w:sz w:val="24"/>
          <w:szCs w:val="24"/>
          <w:lang w:val="en-US" w:eastAsia="zh-CN" w:bidi="ar-SA"/>
        </w:rPr>
        <w:t xml:space="preserve">    5.</w:t>
      </w:r>
      <w:r>
        <w:rPr>
          <w:rFonts w:hint="eastAsia" w:ascii="Times New Roman" w:hAnsi="Times New Roman" w:eastAsia="黑体" w:cs="Times New Roman"/>
          <w:b/>
          <w:kern w:val="0"/>
          <w:sz w:val="24"/>
          <w:szCs w:val="24"/>
          <w:lang w:val="en-US" w:eastAsia="zh-CN" w:bidi="ar-SA"/>
        </w:rPr>
        <w:t>.投资于公募基金、信托计划、资产管理计划等资产管理产品的可能风险：由于管理人</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包括本理财产品、所投资的公募基金、信托计划、资产管理计划等资产管理产品的受托人、资产管理人、相关投资顾问</w:t>
      </w:r>
      <w:r>
        <w:rPr>
          <w:rFonts w:hint="eastAsia" w:ascii="Times New Roman" w:eastAsia="黑体" w:cs="Times New Roman"/>
          <w:b/>
          <w:kern w:val="0"/>
          <w:sz w:val="24"/>
          <w:szCs w:val="24"/>
          <w:lang w:val="en-US" w:eastAsia="zh-CN" w:bidi="ar-SA"/>
        </w:rPr>
        <w:t>）</w:t>
      </w:r>
      <w:r>
        <w:rPr>
          <w:rFonts w:hint="eastAsia" w:ascii="Times New Roman" w:hAnsi="Times New Roman" w:eastAsia="黑体" w:cs="Times New Roman"/>
          <w:b/>
          <w:kern w:val="0"/>
          <w:sz w:val="24"/>
          <w:szCs w:val="24"/>
          <w:lang w:val="en-US" w:eastAsia="zh-CN" w:bidi="ar-SA"/>
        </w:rPr>
        <w:t>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8"/>
        <w:numPr>
          <w:ilvl w:val="0"/>
          <w:numId w:val="0"/>
        </w:numPr>
        <w:snapToGrid w:val="0"/>
        <w:spacing w:line="276" w:lineRule="auto"/>
        <w:ind w:firstLine="0" w:firstLineChars="0"/>
        <w:contextualSpacing/>
        <w:jc w:val="both"/>
        <w:rPr>
          <w:rFonts w:hint="eastAsia" w:ascii="Times New Roman" w:eastAsia="黑体" w:cs="Times New Roman"/>
          <w:b/>
        </w:rPr>
      </w:pP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披露本理财产品信息，披露事项包括理财产品成立、不成立、净值、收益分配、到期、提前终止、调整等内容。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。在理财产品季度、半年和年度报告中披露理财产品组合资产情况及其流动性风险分析。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“份额净值公告日”</w:t>
      </w:r>
      <w:r>
        <w:rPr>
          <w:rFonts w:ascii="仿宋" w:hAnsi="仿宋" w:eastAsia="仿宋" w:cs="宋体"/>
          <w:kern w:val="0"/>
          <w:sz w:val="24"/>
        </w:rPr>
        <w:t>约定披露产品净值</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根据监管规定及业务需要，管理人可进行临时信息披露，涉及事项包括但不限于：管理人、托管人发生变更，理财产品投资非标准化债权类资产或信贷资产受（收）益权，</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w:t>
      </w:r>
      <w:r>
        <w:rPr>
          <w:rFonts w:hint="eastAsia" w:ascii="仿宋" w:hAnsi="仿宋" w:eastAsia="仿宋" w:cs="宋体"/>
          <w:b/>
          <w:bCs/>
          <w:kern w:val="0"/>
          <w:sz w:val="24"/>
        </w:rPr>
        <w:t>对于华夏理财增加费用名目、提高收费标准等对投资者利益产生实质不利影响的情形，投资者如不接受，可按</w:t>
      </w:r>
      <w:r>
        <w:rPr>
          <w:rFonts w:ascii="仿宋" w:hAnsi="仿宋" w:eastAsia="仿宋" w:cs="宋体"/>
          <w:b/>
          <w:bCs/>
          <w:kern w:val="0"/>
          <w:sz w:val="24"/>
        </w:rPr>
        <w:t>信息披露中确定的方式</w:t>
      </w:r>
      <w:r>
        <w:rPr>
          <w:rFonts w:hint="eastAsia" w:ascii="仿宋" w:hAnsi="仿宋" w:eastAsia="仿宋" w:cs="宋体"/>
          <w:b/>
          <w:bCs/>
          <w:kern w:val="0"/>
          <w:sz w:val="24"/>
        </w:rPr>
        <w:t>和</w:t>
      </w:r>
      <w:r>
        <w:rPr>
          <w:rFonts w:ascii="仿宋" w:hAnsi="仿宋" w:eastAsia="仿宋" w:cs="宋体"/>
          <w:b/>
          <w:bCs/>
          <w:kern w:val="0"/>
          <w:sz w:val="24"/>
        </w:rPr>
        <w:t>时限</w:t>
      </w:r>
      <w:r>
        <w:rPr>
          <w:rFonts w:hint="eastAsia" w:ascii="仿宋" w:hAnsi="仿宋" w:eastAsia="仿宋" w:cs="宋体"/>
          <w:b/>
          <w:bCs/>
          <w:kern w:val="0"/>
          <w:sz w:val="24"/>
        </w:rPr>
        <w:t>提前赎回本理财产品</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在运用收取短期赎回费、摆动定价等措施后，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spacing w:after="156" w:afterLines="50" w:line="276" w:lineRule="auto"/>
        <w:ind w:firstLine="48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w:t>
      </w:r>
      <w:r>
        <w:rPr>
          <w:rFonts w:hint="eastAsia" w:ascii="黑体" w:hAnsi="黑体" w:eastAsia="黑体" w:cs="黑体"/>
          <w:b/>
          <w:bCs/>
          <w:kern w:val="0"/>
          <w:sz w:val="24"/>
        </w:rPr>
        <w:t>华夏理财有限责任公司官方网站（www.hxwm.com.cn）</w:t>
      </w:r>
      <w:r>
        <w:rPr>
          <w:rFonts w:hint="eastAsia" w:ascii="黑体" w:hAnsi="黑体" w:eastAsia="黑体" w:cs="黑体"/>
          <w:b/>
          <w:bCs/>
          <w:color w:val="000000"/>
          <w:kern w:val="0"/>
          <w:sz w:val="24"/>
        </w:rPr>
        <w:t>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8"/>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十一、说明书签署及生效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Unicode MS">
    <w:altName w:val="宋体"/>
    <w:panose1 w:val="020B0604020202020204"/>
    <w:charset w:val="86"/>
    <w:family w:val="auto"/>
    <w:pitch w:val="default"/>
    <w:sig w:usb0="00000000" w:usb1="00000000" w:usb2="0000003F" w:usb3="00000000" w:csb0="003F01FF" w:csb1="00000000"/>
  </w:font>
  <w:font w:name="仿宋_GB2312">
    <w:altName w:val="仿宋"/>
    <w:panose1 w:val="02010609030101010101"/>
    <w:charset w:val="86"/>
    <w:family w:val="auto"/>
    <w:pitch w:val="default"/>
    <w:sig w:usb0="00000000" w:usb1="00000000" w:usb2="00000010" w:usb3="00000000" w:csb0="00040000" w:csb1="00000000"/>
  </w:font>
  <w:font w:name="微软简仿宋">
    <w:panose1 w:val="00000000000000000000"/>
    <w:charset w:val="86"/>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CTFangSongSJ">
    <w:altName w:val="宋体"/>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C1C3E1"/>
    <w:multiLevelType w:val="singleLevel"/>
    <w:tmpl w:val="64C1C3E1"/>
    <w:lvl w:ilvl="0" w:tentative="0">
      <w:start w:val="15"/>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trackRevisions w:val="1"/>
  <w:documentProtection w:edit="trackedChanges"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172A27"/>
    <w:rsid w:val="0001408C"/>
    <w:rsid w:val="000200EC"/>
    <w:rsid w:val="00020F81"/>
    <w:rsid w:val="0002113A"/>
    <w:rsid w:val="00031A25"/>
    <w:rsid w:val="000415EF"/>
    <w:rsid w:val="0004485A"/>
    <w:rsid w:val="00044B7F"/>
    <w:rsid w:val="0004783E"/>
    <w:rsid w:val="0006081B"/>
    <w:rsid w:val="00063561"/>
    <w:rsid w:val="000713E1"/>
    <w:rsid w:val="0007571C"/>
    <w:rsid w:val="000763B3"/>
    <w:rsid w:val="000805E4"/>
    <w:rsid w:val="00083ED3"/>
    <w:rsid w:val="00085777"/>
    <w:rsid w:val="00086B30"/>
    <w:rsid w:val="00092E28"/>
    <w:rsid w:val="000932F8"/>
    <w:rsid w:val="000950EC"/>
    <w:rsid w:val="000973A7"/>
    <w:rsid w:val="000A2EE9"/>
    <w:rsid w:val="000A3C07"/>
    <w:rsid w:val="000A78E8"/>
    <w:rsid w:val="000B2154"/>
    <w:rsid w:val="000B3204"/>
    <w:rsid w:val="000B32CF"/>
    <w:rsid w:val="000C2AA9"/>
    <w:rsid w:val="000D002A"/>
    <w:rsid w:val="000D7DE2"/>
    <w:rsid w:val="000E195A"/>
    <w:rsid w:val="000F6AF3"/>
    <w:rsid w:val="000F7900"/>
    <w:rsid w:val="000F7A80"/>
    <w:rsid w:val="00102B50"/>
    <w:rsid w:val="00111BDB"/>
    <w:rsid w:val="0011683A"/>
    <w:rsid w:val="001257DD"/>
    <w:rsid w:val="001260F4"/>
    <w:rsid w:val="001318D7"/>
    <w:rsid w:val="001322B8"/>
    <w:rsid w:val="00141481"/>
    <w:rsid w:val="001423F3"/>
    <w:rsid w:val="00142652"/>
    <w:rsid w:val="00146323"/>
    <w:rsid w:val="001632DE"/>
    <w:rsid w:val="00166999"/>
    <w:rsid w:val="00167A6E"/>
    <w:rsid w:val="00170760"/>
    <w:rsid w:val="00170B89"/>
    <w:rsid w:val="00171956"/>
    <w:rsid w:val="00172A27"/>
    <w:rsid w:val="00176E76"/>
    <w:rsid w:val="00180BC8"/>
    <w:rsid w:val="001861EC"/>
    <w:rsid w:val="00192AD3"/>
    <w:rsid w:val="0019771D"/>
    <w:rsid w:val="001A0DF1"/>
    <w:rsid w:val="001B007A"/>
    <w:rsid w:val="001B29E5"/>
    <w:rsid w:val="001B2C46"/>
    <w:rsid w:val="001D5895"/>
    <w:rsid w:val="001D6DB9"/>
    <w:rsid w:val="001E4307"/>
    <w:rsid w:val="001F043A"/>
    <w:rsid w:val="001F1829"/>
    <w:rsid w:val="001F21AD"/>
    <w:rsid w:val="001F4C9F"/>
    <w:rsid w:val="001F5633"/>
    <w:rsid w:val="00203B96"/>
    <w:rsid w:val="002110F9"/>
    <w:rsid w:val="00214B23"/>
    <w:rsid w:val="00216CAD"/>
    <w:rsid w:val="00220E75"/>
    <w:rsid w:val="00230B93"/>
    <w:rsid w:val="00244A0E"/>
    <w:rsid w:val="002473CD"/>
    <w:rsid w:val="00260FED"/>
    <w:rsid w:val="00265998"/>
    <w:rsid w:val="00266D0F"/>
    <w:rsid w:val="00277CAB"/>
    <w:rsid w:val="00282724"/>
    <w:rsid w:val="00287CAE"/>
    <w:rsid w:val="00293AA7"/>
    <w:rsid w:val="00294355"/>
    <w:rsid w:val="002966AC"/>
    <w:rsid w:val="002A26F8"/>
    <w:rsid w:val="002A2967"/>
    <w:rsid w:val="002A2FEF"/>
    <w:rsid w:val="002C3FF3"/>
    <w:rsid w:val="002C7F16"/>
    <w:rsid w:val="002D449A"/>
    <w:rsid w:val="002E56BD"/>
    <w:rsid w:val="002E5919"/>
    <w:rsid w:val="002E7F9D"/>
    <w:rsid w:val="002F3780"/>
    <w:rsid w:val="0030422A"/>
    <w:rsid w:val="00311727"/>
    <w:rsid w:val="00311DBF"/>
    <w:rsid w:val="00311EF5"/>
    <w:rsid w:val="00317858"/>
    <w:rsid w:val="003248AF"/>
    <w:rsid w:val="003359B4"/>
    <w:rsid w:val="00351C38"/>
    <w:rsid w:val="003522B1"/>
    <w:rsid w:val="00357F0B"/>
    <w:rsid w:val="00362E0F"/>
    <w:rsid w:val="0036318A"/>
    <w:rsid w:val="00365E5C"/>
    <w:rsid w:val="00367563"/>
    <w:rsid w:val="003723AE"/>
    <w:rsid w:val="00374B93"/>
    <w:rsid w:val="00375CE6"/>
    <w:rsid w:val="003767EF"/>
    <w:rsid w:val="0038373F"/>
    <w:rsid w:val="003923B3"/>
    <w:rsid w:val="003A4560"/>
    <w:rsid w:val="003B43C0"/>
    <w:rsid w:val="003C0388"/>
    <w:rsid w:val="003C4235"/>
    <w:rsid w:val="003C51E8"/>
    <w:rsid w:val="003C5A8A"/>
    <w:rsid w:val="003C7D21"/>
    <w:rsid w:val="003D2B76"/>
    <w:rsid w:val="003D55AF"/>
    <w:rsid w:val="003D65A8"/>
    <w:rsid w:val="003D7B76"/>
    <w:rsid w:val="003E4BEB"/>
    <w:rsid w:val="003F1B6F"/>
    <w:rsid w:val="003F5AF4"/>
    <w:rsid w:val="003F6114"/>
    <w:rsid w:val="003F7EA5"/>
    <w:rsid w:val="004021F4"/>
    <w:rsid w:val="0042074B"/>
    <w:rsid w:val="00422249"/>
    <w:rsid w:val="0042748A"/>
    <w:rsid w:val="0043490E"/>
    <w:rsid w:val="0043495C"/>
    <w:rsid w:val="00434F88"/>
    <w:rsid w:val="00440BC3"/>
    <w:rsid w:val="00440F4D"/>
    <w:rsid w:val="0045546E"/>
    <w:rsid w:val="00456C1F"/>
    <w:rsid w:val="00462536"/>
    <w:rsid w:val="004734C8"/>
    <w:rsid w:val="00474458"/>
    <w:rsid w:val="00484075"/>
    <w:rsid w:val="004929E8"/>
    <w:rsid w:val="0049300B"/>
    <w:rsid w:val="00494748"/>
    <w:rsid w:val="004950C5"/>
    <w:rsid w:val="00495582"/>
    <w:rsid w:val="00497138"/>
    <w:rsid w:val="004A1573"/>
    <w:rsid w:val="004A7A7E"/>
    <w:rsid w:val="004B06AD"/>
    <w:rsid w:val="004B07F8"/>
    <w:rsid w:val="004B2908"/>
    <w:rsid w:val="004B4F8B"/>
    <w:rsid w:val="004C17BD"/>
    <w:rsid w:val="004C1CD0"/>
    <w:rsid w:val="004C4084"/>
    <w:rsid w:val="004C6D16"/>
    <w:rsid w:val="004E7D97"/>
    <w:rsid w:val="004F0884"/>
    <w:rsid w:val="004F2A31"/>
    <w:rsid w:val="004F4E81"/>
    <w:rsid w:val="004F648F"/>
    <w:rsid w:val="00501BB4"/>
    <w:rsid w:val="005114E6"/>
    <w:rsid w:val="00512B7C"/>
    <w:rsid w:val="0052572E"/>
    <w:rsid w:val="00532BEE"/>
    <w:rsid w:val="00540411"/>
    <w:rsid w:val="00557F33"/>
    <w:rsid w:val="005604F6"/>
    <w:rsid w:val="00560CC1"/>
    <w:rsid w:val="005727C8"/>
    <w:rsid w:val="00573D79"/>
    <w:rsid w:val="00576EC5"/>
    <w:rsid w:val="0058230D"/>
    <w:rsid w:val="005835EB"/>
    <w:rsid w:val="005A3BD8"/>
    <w:rsid w:val="005A6E67"/>
    <w:rsid w:val="005B536D"/>
    <w:rsid w:val="005C08EC"/>
    <w:rsid w:val="005C120E"/>
    <w:rsid w:val="005D3AAF"/>
    <w:rsid w:val="005D5649"/>
    <w:rsid w:val="005E28E4"/>
    <w:rsid w:val="005E4248"/>
    <w:rsid w:val="005E4DED"/>
    <w:rsid w:val="005E54BE"/>
    <w:rsid w:val="005E7E9C"/>
    <w:rsid w:val="005F45E5"/>
    <w:rsid w:val="005F49F0"/>
    <w:rsid w:val="005F5E1E"/>
    <w:rsid w:val="005F66E4"/>
    <w:rsid w:val="005F7E82"/>
    <w:rsid w:val="00602ED4"/>
    <w:rsid w:val="006075D0"/>
    <w:rsid w:val="00611502"/>
    <w:rsid w:val="006119D9"/>
    <w:rsid w:val="00613BD1"/>
    <w:rsid w:val="00615330"/>
    <w:rsid w:val="0065248A"/>
    <w:rsid w:val="00653752"/>
    <w:rsid w:val="00656FE9"/>
    <w:rsid w:val="00662200"/>
    <w:rsid w:val="00670595"/>
    <w:rsid w:val="00677437"/>
    <w:rsid w:val="00681E3A"/>
    <w:rsid w:val="0068328B"/>
    <w:rsid w:val="006854F9"/>
    <w:rsid w:val="006860DD"/>
    <w:rsid w:val="0069073D"/>
    <w:rsid w:val="006915E0"/>
    <w:rsid w:val="0069363A"/>
    <w:rsid w:val="006A3461"/>
    <w:rsid w:val="006A3ABB"/>
    <w:rsid w:val="006B4904"/>
    <w:rsid w:val="006C0140"/>
    <w:rsid w:val="006C67EB"/>
    <w:rsid w:val="006D37EA"/>
    <w:rsid w:val="006D3A14"/>
    <w:rsid w:val="006E0E9D"/>
    <w:rsid w:val="006E32B2"/>
    <w:rsid w:val="006E3A7D"/>
    <w:rsid w:val="006E6F3C"/>
    <w:rsid w:val="006E711E"/>
    <w:rsid w:val="006E742E"/>
    <w:rsid w:val="006F119A"/>
    <w:rsid w:val="006F3678"/>
    <w:rsid w:val="006F50CA"/>
    <w:rsid w:val="006F5BE4"/>
    <w:rsid w:val="00703F7A"/>
    <w:rsid w:val="00705718"/>
    <w:rsid w:val="00712CC7"/>
    <w:rsid w:val="00734D46"/>
    <w:rsid w:val="00736655"/>
    <w:rsid w:val="00745116"/>
    <w:rsid w:val="007529D1"/>
    <w:rsid w:val="0076606B"/>
    <w:rsid w:val="0077324B"/>
    <w:rsid w:val="00777429"/>
    <w:rsid w:val="007815CF"/>
    <w:rsid w:val="00785CAB"/>
    <w:rsid w:val="00791180"/>
    <w:rsid w:val="00792744"/>
    <w:rsid w:val="007A66AB"/>
    <w:rsid w:val="007B1FB0"/>
    <w:rsid w:val="007B234E"/>
    <w:rsid w:val="007B5822"/>
    <w:rsid w:val="007C0AE0"/>
    <w:rsid w:val="007C29CD"/>
    <w:rsid w:val="007D1662"/>
    <w:rsid w:val="007D5636"/>
    <w:rsid w:val="007E7879"/>
    <w:rsid w:val="007F00D6"/>
    <w:rsid w:val="007F32C1"/>
    <w:rsid w:val="007F32F8"/>
    <w:rsid w:val="00804404"/>
    <w:rsid w:val="00806D06"/>
    <w:rsid w:val="00807C05"/>
    <w:rsid w:val="00810A72"/>
    <w:rsid w:val="008114AC"/>
    <w:rsid w:val="00811683"/>
    <w:rsid w:val="008132DF"/>
    <w:rsid w:val="008137C7"/>
    <w:rsid w:val="008202B4"/>
    <w:rsid w:val="0082398B"/>
    <w:rsid w:val="00826F03"/>
    <w:rsid w:val="008277B6"/>
    <w:rsid w:val="00835352"/>
    <w:rsid w:val="00835BC2"/>
    <w:rsid w:val="0083661A"/>
    <w:rsid w:val="00836CF0"/>
    <w:rsid w:val="00843345"/>
    <w:rsid w:val="00846F1F"/>
    <w:rsid w:val="00846FF0"/>
    <w:rsid w:val="00852D93"/>
    <w:rsid w:val="0085638B"/>
    <w:rsid w:val="00863612"/>
    <w:rsid w:val="00864B44"/>
    <w:rsid w:val="00866B5F"/>
    <w:rsid w:val="00866C0F"/>
    <w:rsid w:val="00870823"/>
    <w:rsid w:val="00874410"/>
    <w:rsid w:val="00876CFF"/>
    <w:rsid w:val="00877345"/>
    <w:rsid w:val="00882694"/>
    <w:rsid w:val="00887E73"/>
    <w:rsid w:val="0089364D"/>
    <w:rsid w:val="008B03DB"/>
    <w:rsid w:val="008B3093"/>
    <w:rsid w:val="008B620C"/>
    <w:rsid w:val="008B7E86"/>
    <w:rsid w:val="008C1A3B"/>
    <w:rsid w:val="008D19AA"/>
    <w:rsid w:val="008D19F3"/>
    <w:rsid w:val="008D277E"/>
    <w:rsid w:val="008D39B8"/>
    <w:rsid w:val="008D5335"/>
    <w:rsid w:val="008D5F85"/>
    <w:rsid w:val="008E0C40"/>
    <w:rsid w:val="008E3DA1"/>
    <w:rsid w:val="008E67EB"/>
    <w:rsid w:val="008F66DE"/>
    <w:rsid w:val="008F6891"/>
    <w:rsid w:val="00900A1D"/>
    <w:rsid w:val="00901432"/>
    <w:rsid w:val="00902123"/>
    <w:rsid w:val="00916782"/>
    <w:rsid w:val="0092528D"/>
    <w:rsid w:val="009267C7"/>
    <w:rsid w:val="009502B1"/>
    <w:rsid w:val="00951B7F"/>
    <w:rsid w:val="00953E36"/>
    <w:rsid w:val="00962622"/>
    <w:rsid w:val="00965372"/>
    <w:rsid w:val="00971A91"/>
    <w:rsid w:val="00972105"/>
    <w:rsid w:val="00975626"/>
    <w:rsid w:val="00984E50"/>
    <w:rsid w:val="00991FA8"/>
    <w:rsid w:val="00994117"/>
    <w:rsid w:val="009941FD"/>
    <w:rsid w:val="009A21D5"/>
    <w:rsid w:val="009A3572"/>
    <w:rsid w:val="009A3901"/>
    <w:rsid w:val="009A4462"/>
    <w:rsid w:val="009A5350"/>
    <w:rsid w:val="009C0A85"/>
    <w:rsid w:val="009C16E3"/>
    <w:rsid w:val="009C4B76"/>
    <w:rsid w:val="009C5840"/>
    <w:rsid w:val="009C59CA"/>
    <w:rsid w:val="009D3B86"/>
    <w:rsid w:val="009D480A"/>
    <w:rsid w:val="009D76E2"/>
    <w:rsid w:val="009E6D89"/>
    <w:rsid w:val="009F0D25"/>
    <w:rsid w:val="009F0F25"/>
    <w:rsid w:val="009F1CB5"/>
    <w:rsid w:val="009F2C1D"/>
    <w:rsid w:val="00A046DD"/>
    <w:rsid w:val="00A11A8A"/>
    <w:rsid w:val="00A12304"/>
    <w:rsid w:val="00A25440"/>
    <w:rsid w:val="00A32C69"/>
    <w:rsid w:val="00A33474"/>
    <w:rsid w:val="00A403DC"/>
    <w:rsid w:val="00A51A90"/>
    <w:rsid w:val="00A531A5"/>
    <w:rsid w:val="00A547BE"/>
    <w:rsid w:val="00A55E93"/>
    <w:rsid w:val="00A56465"/>
    <w:rsid w:val="00A571EC"/>
    <w:rsid w:val="00A57A11"/>
    <w:rsid w:val="00A64481"/>
    <w:rsid w:val="00A70174"/>
    <w:rsid w:val="00A705A2"/>
    <w:rsid w:val="00A71EF3"/>
    <w:rsid w:val="00A76CE4"/>
    <w:rsid w:val="00A87692"/>
    <w:rsid w:val="00A87B04"/>
    <w:rsid w:val="00A87D42"/>
    <w:rsid w:val="00A9234C"/>
    <w:rsid w:val="00A93593"/>
    <w:rsid w:val="00A94487"/>
    <w:rsid w:val="00A978E7"/>
    <w:rsid w:val="00AA05C6"/>
    <w:rsid w:val="00AA7C52"/>
    <w:rsid w:val="00AA7D8A"/>
    <w:rsid w:val="00AB4C74"/>
    <w:rsid w:val="00AC45F9"/>
    <w:rsid w:val="00AD7FE0"/>
    <w:rsid w:val="00AE13B1"/>
    <w:rsid w:val="00AE1B0B"/>
    <w:rsid w:val="00AF3F07"/>
    <w:rsid w:val="00AF4C92"/>
    <w:rsid w:val="00B0003E"/>
    <w:rsid w:val="00B1284F"/>
    <w:rsid w:val="00B1362C"/>
    <w:rsid w:val="00B169E1"/>
    <w:rsid w:val="00B212A5"/>
    <w:rsid w:val="00B25C74"/>
    <w:rsid w:val="00B2620A"/>
    <w:rsid w:val="00B27136"/>
    <w:rsid w:val="00B27633"/>
    <w:rsid w:val="00B3053C"/>
    <w:rsid w:val="00B31855"/>
    <w:rsid w:val="00B36BFB"/>
    <w:rsid w:val="00B36EED"/>
    <w:rsid w:val="00B46F41"/>
    <w:rsid w:val="00B47C68"/>
    <w:rsid w:val="00B5342D"/>
    <w:rsid w:val="00B5695A"/>
    <w:rsid w:val="00B61638"/>
    <w:rsid w:val="00B619F3"/>
    <w:rsid w:val="00B66F4B"/>
    <w:rsid w:val="00B67C1B"/>
    <w:rsid w:val="00B72791"/>
    <w:rsid w:val="00B72B76"/>
    <w:rsid w:val="00B91ACC"/>
    <w:rsid w:val="00BA2547"/>
    <w:rsid w:val="00BA3B92"/>
    <w:rsid w:val="00BA7546"/>
    <w:rsid w:val="00BA77A8"/>
    <w:rsid w:val="00BB4269"/>
    <w:rsid w:val="00BB5103"/>
    <w:rsid w:val="00BB75C5"/>
    <w:rsid w:val="00BC4B7F"/>
    <w:rsid w:val="00BE076D"/>
    <w:rsid w:val="00BE1EBE"/>
    <w:rsid w:val="00BE4A47"/>
    <w:rsid w:val="00BE68E0"/>
    <w:rsid w:val="00BE7E09"/>
    <w:rsid w:val="00BF19EC"/>
    <w:rsid w:val="00BF1F1A"/>
    <w:rsid w:val="00BF3BE3"/>
    <w:rsid w:val="00C1272E"/>
    <w:rsid w:val="00C21069"/>
    <w:rsid w:val="00C22EE8"/>
    <w:rsid w:val="00C33E4C"/>
    <w:rsid w:val="00C34069"/>
    <w:rsid w:val="00C36153"/>
    <w:rsid w:val="00C57F25"/>
    <w:rsid w:val="00C61C44"/>
    <w:rsid w:val="00C747FC"/>
    <w:rsid w:val="00C83009"/>
    <w:rsid w:val="00C841D0"/>
    <w:rsid w:val="00C8421C"/>
    <w:rsid w:val="00C86BB2"/>
    <w:rsid w:val="00CA222E"/>
    <w:rsid w:val="00CA25C5"/>
    <w:rsid w:val="00CB0228"/>
    <w:rsid w:val="00CB5DFA"/>
    <w:rsid w:val="00CB6DD5"/>
    <w:rsid w:val="00CC008B"/>
    <w:rsid w:val="00CC156B"/>
    <w:rsid w:val="00CC1EEF"/>
    <w:rsid w:val="00CC7239"/>
    <w:rsid w:val="00CC747A"/>
    <w:rsid w:val="00CD2B51"/>
    <w:rsid w:val="00CE4568"/>
    <w:rsid w:val="00CF69E2"/>
    <w:rsid w:val="00CF6CE2"/>
    <w:rsid w:val="00CF7DDD"/>
    <w:rsid w:val="00D04582"/>
    <w:rsid w:val="00D04841"/>
    <w:rsid w:val="00D06C20"/>
    <w:rsid w:val="00D06F7A"/>
    <w:rsid w:val="00D17EBF"/>
    <w:rsid w:val="00D3022C"/>
    <w:rsid w:val="00D31F9E"/>
    <w:rsid w:val="00D3392B"/>
    <w:rsid w:val="00D34745"/>
    <w:rsid w:val="00D44DB1"/>
    <w:rsid w:val="00D534F9"/>
    <w:rsid w:val="00D55ED7"/>
    <w:rsid w:val="00D65353"/>
    <w:rsid w:val="00D65F44"/>
    <w:rsid w:val="00D67764"/>
    <w:rsid w:val="00D67869"/>
    <w:rsid w:val="00D76E1C"/>
    <w:rsid w:val="00D77548"/>
    <w:rsid w:val="00D8427B"/>
    <w:rsid w:val="00D87E03"/>
    <w:rsid w:val="00D919BF"/>
    <w:rsid w:val="00D91DBA"/>
    <w:rsid w:val="00D932B9"/>
    <w:rsid w:val="00D96BB6"/>
    <w:rsid w:val="00DA36BD"/>
    <w:rsid w:val="00DA511D"/>
    <w:rsid w:val="00DA7367"/>
    <w:rsid w:val="00DB0246"/>
    <w:rsid w:val="00DB0B8B"/>
    <w:rsid w:val="00DC3F67"/>
    <w:rsid w:val="00DC602D"/>
    <w:rsid w:val="00DE1921"/>
    <w:rsid w:val="00DE2987"/>
    <w:rsid w:val="00DE2BB4"/>
    <w:rsid w:val="00DE6CBF"/>
    <w:rsid w:val="00DE7E45"/>
    <w:rsid w:val="00DF0967"/>
    <w:rsid w:val="00E25479"/>
    <w:rsid w:val="00E31438"/>
    <w:rsid w:val="00E31C79"/>
    <w:rsid w:val="00E32D42"/>
    <w:rsid w:val="00E4052A"/>
    <w:rsid w:val="00E43DBE"/>
    <w:rsid w:val="00E44569"/>
    <w:rsid w:val="00E46D53"/>
    <w:rsid w:val="00E64B82"/>
    <w:rsid w:val="00E661C4"/>
    <w:rsid w:val="00E72AA6"/>
    <w:rsid w:val="00E75399"/>
    <w:rsid w:val="00E816F5"/>
    <w:rsid w:val="00E879FF"/>
    <w:rsid w:val="00E93A5D"/>
    <w:rsid w:val="00E9443F"/>
    <w:rsid w:val="00E95A0F"/>
    <w:rsid w:val="00E976F5"/>
    <w:rsid w:val="00EB07F6"/>
    <w:rsid w:val="00EE1D7F"/>
    <w:rsid w:val="00EE7A2F"/>
    <w:rsid w:val="00EF3381"/>
    <w:rsid w:val="00EF42A4"/>
    <w:rsid w:val="00EF50CA"/>
    <w:rsid w:val="00EF6ADC"/>
    <w:rsid w:val="00EF6B2A"/>
    <w:rsid w:val="00F02EAF"/>
    <w:rsid w:val="00F1550F"/>
    <w:rsid w:val="00F15940"/>
    <w:rsid w:val="00F32579"/>
    <w:rsid w:val="00F34BEA"/>
    <w:rsid w:val="00F36652"/>
    <w:rsid w:val="00F37C88"/>
    <w:rsid w:val="00F444A8"/>
    <w:rsid w:val="00F54393"/>
    <w:rsid w:val="00F56D69"/>
    <w:rsid w:val="00F839E0"/>
    <w:rsid w:val="00F93D60"/>
    <w:rsid w:val="00F9415B"/>
    <w:rsid w:val="00F96177"/>
    <w:rsid w:val="00FA5C01"/>
    <w:rsid w:val="00FB342E"/>
    <w:rsid w:val="00FB52C5"/>
    <w:rsid w:val="00FB7BBA"/>
    <w:rsid w:val="00FC0ECB"/>
    <w:rsid w:val="00FC139A"/>
    <w:rsid w:val="00FC1677"/>
    <w:rsid w:val="00FD2903"/>
    <w:rsid w:val="00FD42E6"/>
    <w:rsid w:val="00FE1291"/>
    <w:rsid w:val="00FE2A8B"/>
    <w:rsid w:val="00FE482B"/>
    <w:rsid w:val="00FF56AD"/>
    <w:rsid w:val="018D5F51"/>
    <w:rsid w:val="01EB6FEC"/>
    <w:rsid w:val="01FE5EB7"/>
    <w:rsid w:val="02377743"/>
    <w:rsid w:val="02485D4E"/>
    <w:rsid w:val="03204429"/>
    <w:rsid w:val="03DB06FE"/>
    <w:rsid w:val="04B16B62"/>
    <w:rsid w:val="05215177"/>
    <w:rsid w:val="0529284F"/>
    <w:rsid w:val="052A58A5"/>
    <w:rsid w:val="054A5192"/>
    <w:rsid w:val="05BB571F"/>
    <w:rsid w:val="062067C9"/>
    <w:rsid w:val="081C165C"/>
    <w:rsid w:val="08497BE8"/>
    <w:rsid w:val="087A37FC"/>
    <w:rsid w:val="08961A5A"/>
    <w:rsid w:val="08A96CC2"/>
    <w:rsid w:val="08F619C1"/>
    <w:rsid w:val="095345F4"/>
    <w:rsid w:val="0A0F44CD"/>
    <w:rsid w:val="0A2F0E4D"/>
    <w:rsid w:val="0AA97A8C"/>
    <w:rsid w:val="0B047D48"/>
    <w:rsid w:val="0B601674"/>
    <w:rsid w:val="0B9C5D9B"/>
    <w:rsid w:val="0BA27F6B"/>
    <w:rsid w:val="0C490CC3"/>
    <w:rsid w:val="0C510FA4"/>
    <w:rsid w:val="0C7E5462"/>
    <w:rsid w:val="0C9E5955"/>
    <w:rsid w:val="0D511F69"/>
    <w:rsid w:val="0D7062EF"/>
    <w:rsid w:val="0DC52C23"/>
    <w:rsid w:val="0DC653B7"/>
    <w:rsid w:val="0DF70178"/>
    <w:rsid w:val="0E247DD8"/>
    <w:rsid w:val="0E3C3C0F"/>
    <w:rsid w:val="0E4E33FF"/>
    <w:rsid w:val="0E8143FC"/>
    <w:rsid w:val="0EBE477B"/>
    <w:rsid w:val="0EE46AFC"/>
    <w:rsid w:val="0F2862EC"/>
    <w:rsid w:val="0FA5375B"/>
    <w:rsid w:val="0FE53808"/>
    <w:rsid w:val="10F036D9"/>
    <w:rsid w:val="117C0D4E"/>
    <w:rsid w:val="11B162FD"/>
    <w:rsid w:val="11BB3DB9"/>
    <w:rsid w:val="11CB222C"/>
    <w:rsid w:val="11D21B30"/>
    <w:rsid w:val="121940A5"/>
    <w:rsid w:val="123B658C"/>
    <w:rsid w:val="12756877"/>
    <w:rsid w:val="12CD4972"/>
    <w:rsid w:val="12FA2A1E"/>
    <w:rsid w:val="12FB08EA"/>
    <w:rsid w:val="142741A0"/>
    <w:rsid w:val="144B618F"/>
    <w:rsid w:val="1469754C"/>
    <w:rsid w:val="146F6048"/>
    <w:rsid w:val="147D46C9"/>
    <w:rsid w:val="149A2E5A"/>
    <w:rsid w:val="149C2737"/>
    <w:rsid w:val="14F71E23"/>
    <w:rsid w:val="14FD2EFF"/>
    <w:rsid w:val="15290B88"/>
    <w:rsid w:val="152A1DB0"/>
    <w:rsid w:val="155D4436"/>
    <w:rsid w:val="16002490"/>
    <w:rsid w:val="16457F02"/>
    <w:rsid w:val="16800450"/>
    <w:rsid w:val="169510B8"/>
    <w:rsid w:val="16BE529F"/>
    <w:rsid w:val="16DD4AF1"/>
    <w:rsid w:val="170A0D35"/>
    <w:rsid w:val="17322FFC"/>
    <w:rsid w:val="174C5C47"/>
    <w:rsid w:val="178D27B4"/>
    <w:rsid w:val="182014A2"/>
    <w:rsid w:val="18294E04"/>
    <w:rsid w:val="186E0F1B"/>
    <w:rsid w:val="1892050E"/>
    <w:rsid w:val="18B67417"/>
    <w:rsid w:val="18D80C51"/>
    <w:rsid w:val="18EE0BF6"/>
    <w:rsid w:val="192B2275"/>
    <w:rsid w:val="19854B76"/>
    <w:rsid w:val="198557BA"/>
    <w:rsid w:val="19B17BB1"/>
    <w:rsid w:val="19D84AF5"/>
    <w:rsid w:val="1A0C2276"/>
    <w:rsid w:val="1A287FEA"/>
    <w:rsid w:val="1A542352"/>
    <w:rsid w:val="1A5E49AF"/>
    <w:rsid w:val="1A707A6D"/>
    <w:rsid w:val="1A7D6D25"/>
    <w:rsid w:val="1A816486"/>
    <w:rsid w:val="1A893942"/>
    <w:rsid w:val="1A907FA2"/>
    <w:rsid w:val="1AD533CC"/>
    <w:rsid w:val="1B2A72DF"/>
    <w:rsid w:val="1B70123A"/>
    <w:rsid w:val="1BA64FD1"/>
    <w:rsid w:val="1BBC5A18"/>
    <w:rsid w:val="1BC93F0E"/>
    <w:rsid w:val="1BE97487"/>
    <w:rsid w:val="1BF32374"/>
    <w:rsid w:val="1C0776AF"/>
    <w:rsid w:val="1C1E6CA1"/>
    <w:rsid w:val="1C3E4461"/>
    <w:rsid w:val="1C6357AF"/>
    <w:rsid w:val="1CA82BE0"/>
    <w:rsid w:val="1CAC5E2B"/>
    <w:rsid w:val="1CAF256B"/>
    <w:rsid w:val="1CC71CB2"/>
    <w:rsid w:val="1CDF5587"/>
    <w:rsid w:val="1D023468"/>
    <w:rsid w:val="1D795BF8"/>
    <w:rsid w:val="1D941E49"/>
    <w:rsid w:val="1D964AA9"/>
    <w:rsid w:val="1DD036B2"/>
    <w:rsid w:val="1DD4275F"/>
    <w:rsid w:val="1E356AFA"/>
    <w:rsid w:val="1E724912"/>
    <w:rsid w:val="1F0740D0"/>
    <w:rsid w:val="1FC2672F"/>
    <w:rsid w:val="201D0297"/>
    <w:rsid w:val="204A0870"/>
    <w:rsid w:val="20C822D8"/>
    <w:rsid w:val="22086EAE"/>
    <w:rsid w:val="220D5EC8"/>
    <w:rsid w:val="223431B1"/>
    <w:rsid w:val="22990E19"/>
    <w:rsid w:val="22C149FC"/>
    <w:rsid w:val="22F1518B"/>
    <w:rsid w:val="238C25BD"/>
    <w:rsid w:val="2412563B"/>
    <w:rsid w:val="24A91031"/>
    <w:rsid w:val="24B96681"/>
    <w:rsid w:val="24BD22AA"/>
    <w:rsid w:val="25152CD3"/>
    <w:rsid w:val="25E72FA7"/>
    <w:rsid w:val="260555E3"/>
    <w:rsid w:val="264A5D18"/>
    <w:rsid w:val="26C402B0"/>
    <w:rsid w:val="26D15FFB"/>
    <w:rsid w:val="273147E4"/>
    <w:rsid w:val="27487015"/>
    <w:rsid w:val="27A84C42"/>
    <w:rsid w:val="28131A3D"/>
    <w:rsid w:val="28347384"/>
    <w:rsid w:val="287A4275"/>
    <w:rsid w:val="28B70DC9"/>
    <w:rsid w:val="29377EAB"/>
    <w:rsid w:val="29711978"/>
    <w:rsid w:val="298634AE"/>
    <w:rsid w:val="29A17B31"/>
    <w:rsid w:val="2A4B1A28"/>
    <w:rsid w:val="2A567387"/>
    <w:rsid w:val="2A66542F"/>
    <w:rsid w:val="2B3649F4"/>
    <w:rsid w:val="2B4675FA"/>
    <w:rsid w:val="2BB602C5"/>
    <w:rsid w:val="2BD85FC4"/>
    <w:rsid w:val="2BE937E9"/>
    <w:rsid w:val="2BF50AB4"/>
    <w:rsid w:val="2BFA0E70"/>
    <w:rsid w:val="2CDB7E63"/>
    <w:rsid w:val="2CFE6A9D"/>
    <w:rsid w:val="2D434FF8"/>
    <w:rsid w:val="2DA05DCE"/>
    <w:rsid w:val="2EC208DF"/>
    <w:rsid w:val="2F223C18"/>
    <w:rsid w:val="2F401A95"/>
    <w:rsid w:val="2F517C68"/>
    <w:rsid w:val="2F854CC7"/>
    <w:rsid w:val="2F9C3AD1"/>
    <w:rsid w:val="2FDD2BC4"/>
    <w:rsid w:val="2FF679D7"/>
    <w:rsid w:val="30653C55"/>
    <w:rsid w:val="307C6D47"/>
    <w:rsid w:val="30B93C1E"/>
    <w:rsid w:val="30C952F8"/>
    <w:rsid w:val="3166520A"/>
    <w:rsid w:val="318D3859"/>
    <w:rsid w:val="31A367EC"/>
    <w:rsid w:val="31CF5586"/>
    <w:rsid w:val="31DE2CEC"/>
    <w:rsid w:val="320C78A0"/>
    <w:rsid w:val="3232204B"/>
    <w:rsid w:val="323649A0"/>
    <w:rsid w:val="329A0B6A"/>
    <w:rsid w:val="32C642E9"/>
    <w:rsid w:val="332573C9"/>
    <w:rsid w:val="33330C67"/>
    <w:rsid w:val="338406B7"/>
    <w:rsid w:val="33D75105"/>
    <w:rsid w:val="34477241"/>
    <w:rsid w:val="34854AB1"/>
    <w:rsid w:val="34A63F82"/>
    <w:rsid w:val="350A7012"/>
    <w:rsid w:val="36003080"/>
    <w:rsid w:val="360161F0"/>
    <w:rsid w:val="36050641"/>
    <w:rsid w:val="36365F0F"/>
    <w:rsid w:val="372651A6"/>
    <w:rsid w:val="375515EF"/>
    <w:rsid w:val="37607611"/>
    <w:rsid w:val="37854D30"/>
    <w:rsid w:val="37A91B2F"/>
    <w:rsid w:val="381E7A1B"/>
    <w:rsid w:val="382265A3"/>
    <w:rsid w:val="386B45BC"/>
    <w:rsid w:val="38B20142"/>
    <w:rsid w:val="39006650"/>
    <w:rsid w:val="39223F50"/>
    <w:rsid w:val="39915230"/>
    <w:rsid w:val="39B533F4"/>
    <w:rsid w:val="3A166DB1"/>
    <w:rsid w:val="3A242CB1"/>
    <w:rsid w:val="3A3D41CD"/>
    <w:rsid w:val="3A637C30"/>
    <w:rsid w:val="3A6464DA"/>
    <w:rsid w:val="3A8D0AE7"/>
    <w:rsid w:val="3AB67D23"/>
    <w:rsid w:val="3B025489"/>
    <w:rsid w:val="3B041099"/>
    <w:rsid w:val="3B35691C"/>
    <w:rsid w:val="3B507595"/>
    <w:rsid w:val="3B586E2D"/>
    <w:rsid w:val="3B777181"/>
    <w:rsid w:val="3C130FAD"/>
    <w:rsid w:val="3C691FB2"/>
    <w:rsid w:val="3C703097"/>
    <w:rsid w:val="3D2A5959"/>
    <w:rsid w:val="3D3B3330"/>
    <w:rsid w:val="3EA36474"/>
    <w:rsid w:val="3F857305"/>
    <w:rsid w:val="3F9148EF"/>
    <w:rsid w:val="3F916BA3"/>
    <w:rsid w:val="3F996600"/>
    <w:rsid w:val="4071483C"/>
    <w:rsid w:val="40897331"/>
    <w:rsid w:val="40A300AE"/>
    <w:rsid w:val="40DD3147"/>
    <w:rsid w:val="41450ED1"/>
    <w:rsid w:val="419803FF"/>
    <w:rsid w:val="41A75327"/>
    <w:rsid w:val="41DE07D6"/>
    <w:rsid w:val="425932C8"/>
    <w:rsid w:val="42726493"/>
    <w:rsid w:val="42B952C5"/>
    <w:rsid w:val="42E30E06"/>
    <w:rsid w:val="434F08E3"/>
    <w:rsid w:val="436469F4"/>
    <w:rsid w:val="437F2ECA"/>
    <w:rsid w:val="44181054"/>
    <w:rsid w:val="44343828"/>
    <w:rsid w:val="44C2436C"/>
    <w:rsid w:val="44D90650"/>
    <w:rsid w:val="45225B34"/>
    <w:rsid w:val="454247FC"/>
    <w:rsid w:val="45917432"/>
    <w:rsid w:val="45C2437E"/>
    <w:rsid w:val="4608096C"/>
    <w:rsid w:val="464740FB"/>
    <w:rsid w:val="46945BA3"/>
    <w:rsid w:val="469540E2"/>
    <w:rsid w:val="469C1860"/>
    <w:rsid w:val="46EB55F0"/>
    <w:rsid w:val="47194283"/>
    <w:rsid w:val="474178E0"/>
    <w:rsid w:val="475F6725"/>
    <w:rsid w:val="48100387"/>
    <w:rsid w:val="486C54E8"/>
    <w:rsid w:val="489F1960"/>
    <w:rsid w:val="48A26DA2"/>
    <w:rsid w:val="48A8042C"/>
    <w:rsid w:val="492F3120"/>
    <w:rsid w:val="49495EC9"/>
    <w:rsid w:val="4A646C71"/>
    <w:rsid w:val="4A974BFD"/>
    <w:rsid w:val="4AAD3591"/>
    <w:rsid w:val="4AB7027F"/>
    <w:rsid w:val="4AC53274"/>
    <w:rsid w:val="4B23478E"/>
    <w:rsid w:val="4B353D3D"/>
    <w:rsid w:val="4B3D2C38"/>
    <w:rsid w:val="4B630B5D"/>
    <w:rsid w:val="4B9A6CD9"/>
    <w:rsid w:val="4BCC0D7F"/>
    <w:rsid w:val="4C265F46"/>
    <w:rsid w:val="4C550775"/>
    <w:rsid w:val="4CC42E4B"/>
    <w:rsid w:val="4D8F7DFB"/>
    <w:rsid w:val="4DA84AC9"/>
    <w:rsid w:val="4DE754ED"/>
    <w:rsid w:val="4E006899"/>
    <w:rsid w:val="4E411F26"/>
    <w:rsid w:val="4E4604CC"/>
    <w:rsid w:val="4E6B607B"/>
    <w:rsid w:val="4E700033"/>
    <w:rsid w:val="4E712B50"/>
    <w:rsid w:val="4E7E67D5"/>
    <w:rsid w:val="4EE704C2"/>
    <w:rsid w:val="4F2A4C21"/>
    <w:rsid w:val="4F6E3CC3"/>
    <w:rsid w:val="4FAC2EBB"/>
    <w:rsid w:val="500E49CD"/>
    <w:rsid w:val="500F1CD5"/>
    <w:rsid w:val="5019557F"/>
    <w:rsid w:val="506B6199"/>
    <w:rsid w:val="50FA2C7C"/>
    <w:rsid w:val="511D25A1"/>
    <w:rsid w:val="51713776"/>
    <w:rsid w:val="51A36407"/>
    <w:rsid w:val="51C86B56"/>
    <w:rsid w:val="51D60B75"/>
    <w:rsid w:val="51D91B25"/>
    <w:rsid w:val="51FA42D4"/>
    <w:rsid w:val="5202225E"/>
    <w:rsid w:val="522A5C96"/>
    <w:rsid w:val="5286182F"/>
    <w:rsid w:val="52C77658"/>
    <w:rsid w:val="531700D4"/>
    <w:rsid w:val="53252219"/>
    <w:rsid w:val="53B84021"/>
    <w:rsid w:val="53BF0718"/>
    <w:rsid w:val="541B571E"/>
    <w:rsid w:val="542D096E"/>
    <w:rsid w:val="55BA03B1"/>
    <w:rsid w:val="56306E56"/>
    <w:rsid w:val="56444969"/>
    <w:rsid w:val="56EF513F"/>
    <w:rsid w:val="57C82F28"/>
    <w:rsid w:val="57F70DED"/>
    <w:rsid w:val="58083A83"/>
    <w:rsid w:val="581B10FA"/>
    <w:rsid w:val="582156EE"/>
    <w:rsid w:val="58427747"/>
    <w:rsid w:val="584369EC"/>
    <w:rsid w:val="58BB4CDB"/>
    <w:rsid w:val="58F96B51"/>
    <w:rsid w:val="59185B61"/>
    <w:rsid w:val="5939706E"/>
    <w:rsid w:val="596A4423"/>
    <w:rsid w:val="59AD702D"/>
    <w:rsid w:val="59D14CC4"/>
    <w:rsid w:val="59E7688C"/>
    <w:rsid w:val="59FF73A2"/>
    <w:rsid w:val="5A1C50E2"/>
    <w:rsid w:val="5A945937"/>
    <w:rsid w:val="5AA340C2"/>
    <w:rsid w:val="5AB6501F"/>
    <w:rsid w:val="5B756895"/>
    <w:rsid w:val="5B9E1D5B"/>
    <w:rsid w:val="5BA64252"/>
    <w:rsid w:val="5BCB323C"/>
    <w:rsid w:val="5C7344DB"/>
    <w:rsid w:val="5D7F7D07"/>
    <w:rsid w:val="5DC63A4E"/>
    <w:rsid w:val="5DED53D1"/>
    <w:rsid w:val="5E061A22"/>
    <w:rsid w:val="5E063E78"/>
    <w:rsid w:val="5E1B7959"/>
    <w:rsid w:val="5EAD142E"/>
    <w:rsid w:val="5F3F3BFD"/>
    <w:rsid w:val="5F7071A8"/>
    <w:rsid w:val="5FC64461"/>
    <w:rsid w:val="5FF330F1"/>
    <w:rsid w:val="606F349E"/>
    <w:rsid w:val="60F20BC5"/>
    <w:rsid w:val="610C5CC5"/>
    <w:rsid w:val="613053AA"/>
    <w:rsid w:val="6162645C"/>
    <w:rsid w:val="61A7112B"/>
    <w:rsid w:val="61F1030C"/>
    <w:rsid w:val="6210426E"/>
    <w:rsid w:val="625C0D00"/>
    <w:rsid w:val="62832265"/>
    <w:rsid w:val="62B00797"/>
    <w:rsid w:val="62CA41E4"/>
    <w:rsid w:val="62D52D82"/>
    <w:rsid w:val="62DE05EA"/>
    <w:rsid w:val="63216D47"/>
    <w:rsid w:val="632E7F6A"/>
    <w:rsid w:val="63510BEE"/>
    <w:rsid w:val="638119A8"/>
    <w:rsid w:val="642D51FD"/>
    <w:rsid w:val="642E3652"/>
    <w:rsid w:val="644E4B1D"/>
    <w:rsid w:val="64651B49"/>
    <w:rsid w:val="65107CC1"/>
    <w:rsid w:val="651D3A26"/>
    <w:rsid w:val="652C5EC9"/>
    <w:rsid w:val="65353764"/>
    <w:rsid w:val="65630C3D"/>
    <w:rsid w:val="656477F9"/>
    <w:rsid w:val="657C7424"/>
    <w:rsid w:val="65CF1169"/>
    <w:rsid w:val="65EC5F0A"/>
    <w:rsid w:val="665B546D"/>
    <w:rsid w:val="6666090E"/>
    <w:rsid w:val="66EC4D96"/>
    <w:rsid w:val="6736101B"/>
    <w:rsid w:val="675B739B"/>
    <w:rsid w:val="6782210A"/>
    <w:rsid w:val="678C7FB4"/>
    <w:rsid w:val="67987A7C"/>
    <w:rsid w:val="68281E82"/>
    <w:rsid w:val="68370CCC"/>
    <w:rsid w:val="684D7DEF"/>
    <w:rsid w:val="687B2C0D"/>
    <w:rsid w:val="69205264"/>
    <w:rsid w:val="695217DC"/>
    <w:rsid w:val="69C37032"/>
    <w:rsid w:val="6A6F13E3"/>
    <w:rsid w:val="6AF542A4"/>
    <w:rsid w:val="6B832B04"/>
    <w:rsid w:val="6BD916EE"/>
    <w:rsid w:val="6C194573"/>
    <w:rsid w:val="6CCA1A7F"/>
    <w:rsid w:val="6D4C0F69"/>
    <w:rsid w:val="6D8250E5"/>
    <w:rsid w:val="6DD805CD"/>
    <w:rsid w:val="6E035291"/>
    <w:rsid w:val="6E1206A4"/>
    <w:rsid w:val="6E306FE2"/>
    <w:rsid w:val="6E5A3D7E"/>
    <w:rsid w:val="6E7B7898"/>
    <w:rsid w:val="6EBA7775"/>
    <w:rsid w:val="6F795870"/>
    <w:rsid w:val="6F992C36"/>
    <w:rsid w:val="6FA60E90"/>
    <w:rsid w:val="6FF475A6"/>
    <w:rsid w:val="703933A1"/>
    <w:rsid w:val="704E185C"/>
    <w:rsid w:val="70AA0758"/>
    <w:rsid w:val="70B61502"/>
    <w:rsid w:val="70CE17C7"/>
    <w:rsid w:val="70E575E5"/>
    <w:rsid w:val="70F5166C"/>
    <w:rsid w:val="712B74F8"/>
    <w:rsid w:val="715C11EA"/>
    <w:rsid w:val="716176FB"/>
    <w:rsid w:val="7186764D"/>
    <w:rsid w:val="719D02BE"/>
    <w:rsid w:val="71BE45D9"/>
    <w:rsid w:val="71EF5ACB"/>
    <w:rsid w:val="71F72585"/>
    <w:rsid w:val="723B233B"/>
    <w:rsid w:val="724F5D5C"/>
    <w:rsid w:val="72560D51"/>
    <w:rsid w:val="7256226D"/>
    <w:rsid w:val="728E0A16"/>
    <w:rsid w:val="729371FE"/>
    <w:rsid w:val="72E929DE"/>
    <w:rsid w:val="72EF2B1D"/>
    <w:rsid w:val="734664DC"/>
    <w:rsid w:val="738D015F"/>
    <w:rsid w:val="745751F5"/>
    <w:rsid w:val="74892FD1"/>
    <w:rsid w:val="74FB18F9"/>
    <w:rsid w:val="751B2B76"/>
    <w:rsid w:val="75616560"/>
    <w:rsid w:val="75B144DD"/>
    <w:rsid w:val="75F80517"/>
    <w:rsid w:val="75F95482"/>
    <w:rsid w:val="7633094E"/>
    <w:rsid w:val="763D3893"/>
    <w:rsid w:val="766248A9"/>
    <w:rsid w:val="76C00F91"/>
    <w:rsid w:val="76C57715"/>
    <w:rsid w:val="76D0751B"/>
    <w:rsid w:val="76D46C00"/>
    <w:rsid w:val="76E27EE7"/>
    <w:rsid w:val="76E6192C"/>
    <w:rsid w:val="771479EA"/>
    <w:rsid w:val="771C35A1"/>
    <w:rsid w:val="77A03719"/>
    <w:rsid w:val="78280CD8"/>
    <w:rsid w:val="78547476"/>
    <w:rsid w:val="78A4259B"/>
    <w:rsid w:val="78BD34B1"/>
    <w:rsid w:val="78C31CAF"/>
    <w:rsid w:val="78CE6E70"/>
    <w:rsid w:val="79492B04"/>
    <w:rsid w:val="795B3486"/>
    <w:rsid w:val="79E45FD6"/>
    <w:rsid w:val="7A61557B"/>
    <w:rsid w:val="7A7B389C"/>
    <w:rsid w:val="7A7C1996"/>
    <w:rsid w:val="7AD0105B"/>
    <w:rsid w:val="7AF64073"/>
    <w:rsid w:val="7AF92581"/>
    <w:rsid w:val="7B044A15"/>
    <w:rsid w:val="7B170E00"/>
    <w:rsid w:val="7B3057E8"/>
    <w:rsid w:val="7C157916"/>
    <w:rsid w:val="7C4B2499"/>
    <w:rsid w:val="7C691A6C"/>
    <w:rsid w:val="7C721F5F"/>
    <w:rsid w:val="7C7D36C4"/>
    <w:rsid w:val="7DAD733C"/>
    <w:rsid w:val="7E431677"/>
    <w:rsid w:val="7E477AEF"/>
    <w:rsid w:val="7E5572E2"/>
    <w:rsid w:val="7E871182"/>
    <w:rsid w:val="7E9D3347"/>
    <w:rsid w:val="7EB93573"/>
    <w:rsid w:val="7ED67996"/>
    <w:rsid w:val="7EFE58EB"/>
    <w:rsid w:val="7F116F65"/>
    <w:rsid w:val="7F516160"/>
    <w:rsid w:val="7F600A31"/>
    <w:rsid w:val="7FD45F9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3">
    <w:name w:val="Default Paragraph Font"/>
    <w:unhideWhenUsed/>
    <w:qFormat/>
    <w:uiPriority w:val="1"/>
  </w:style>
  <w:style w:type="table" w:default="1" w:styleId="11">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unhideWhenUsed/>
    <w:qFormat/>
    <w:uiPriority w:val="0"/>
    <w:pPr>
      <w:ind w:firstLine="630"/>
    </w:pPr>
    <w:rPr>
      <w:kern w:val="0"/>
      <w:sz w:val="24"/>
    </w:rPr>
  </w:style>
  <w:style w:type="paragraph" w:styleId="7">
    <w:name w:val="Body Text Indent 2"/>
    <w:basedOn w:val="1"/>
    <w:unhideWhenUsed/>
    <w:qFormat/>
    <w:uiPriority w:val="0"/>
    <w:pPr>
      <w:ind w:firstLine="600"/>
    </w:pPr>
    <w:rPr>
      <w:kern w:val="0"/>
      <w:sz w:val="24"/>
    </w:rPr>
  </w:style>
  <w:style w:type="paragraph" w:styleId="8">
    <w:name w:val="Balloon Text"/>
    <w:basedOn w:val="1"/>
    <w:semiHidden/>
    <w:qFormat/>
    <w:uiPriority w:val="0"/>
    <w:rPr>
      <w:sz w:val="18"/>
      <w:szCs w:val="18"/>
    </w:rPr>
  </w:style>
  <w:style w:type="paragraph" w:styleId="9">
    <w:name w:val="footer"/>
    <w:basedOn w:val="1"/>
    <w:unhideWhenUsed/>
    <w:qFormat/>
    <w:uiPriority w:val="0"/>
    <w:pPr>
      <w:tabs>
        <w:tab w:val="center" w:pos="4153"/>
        <w:tab w:val="right" w:pos="8306"/>
      </w:tabs>
      <w:snapToGrid w:val="0"/>
      <w:jc w:val="left"/>
    </w:pPr>
    <w:rPr>
      <w:sz w:val="18"/>
      <w:szCs w:val="20"/>
    </w:rPr>
  </w:style>
  <w:style w:type="paragraph" w:styleId="10">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2">
    <w:name w:val="Table Grid"/>
    <w:basedOn w:val="11"/>
    <w:unhideWhenUsed/>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annotation reference"/>
    <w:qFormat/>
    <w:uiPriority w:val="0"/>
    <w:rPr>
      <w:sz w:val="21"/>
      <w:szCs w:val="21"/>
    </w:rPr>
  </w:style>
  <w:style w:type="paragraph" w:customStyle="1" w:styleId="15">
    <w:name w:val="Revision"/>
    <w:unhideWhenUsed/>
    <w:qFormat/>
    <w:uiPriority w:val="99"/>
    <w:rPr>
      <w:rFonts w:ascii="Times New Roman" w:hAnsi="Times New Roman" w:eastAsia="宋体" w:cs="Times New Roman"/>
      <w:kern w:val="2"/>
      <w:sz w:val="21"/>
      <w:szCs w:val="24"/>
      <w:lang w:val="en-US" w:eastAsia="zh-CN" w:bidi="ar-SA"/>
    </w:rPr>
  </w:style>
  <w:style w:type="paragraph" w:customStyle="1" w:styleId="16">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u w:val="none" w:color="000000"/>
      <w:lang w:val="en-US" w:eastAsia="zh-CN" w:bidi="ar-SA"/>
    </w:rPr>
  </w:style>
  <w:style w:type="paragraph" w:customStyle="1" w:styleId="17">
    <w:name w:val="p0"/>
    <w:basedOn w:val="1"/>
    <w:qFormat/>
    <w:uiPriority w:val="0"/>
    <w:pPr>
      <w:widowControl/>
    </w:pPr>
    <w:rPr>
      <w:kern w:val="0"/>
      <w:szCs w:val="21"/>
    </w:rPr>
  </w:style>
  <w:style w:type="paragraph" w:customStyle="1" w:styleId="18">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9">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character" w:customStyle="1" w:styleId="20">
    <w:name w:val="font11"/>
    <w:qFormat/>
    <w:uiPriority w:val="0"/>
    <w:rPr>
      <w:rFonts w:hint="default" w:ascii="微软简仿宋" w:hAnsi="微软简仿宋" w:eastAsia="微软简仿宋" w:cs="微软简仿宋"/>
      <w:color w:val="000000"/>
      <w:sz w:val="24"/>
      <w:szCs w:val="24"/>
      <w:u w:val="none"/>
    </w:rPr>
  </w:style>
  <w:style w:type="character" w:customStyle="1" w:styleId="21">
    <w:name w:val="font01"/>
    <w:qFormat/>
    <w:uiPriority w:val="0"/>
    <w:rPr>
      <w:rFonts w:hint="default" w:ascii="Times New Roman" w:hAnsi="Times New Roman" w:cs="Times New Roman"/>
      <w:color w:val="000000"/>
      <w:sz w:val="24"/>
      <w:szCs w:val="24"/>
      <w:u w:val="none"/>
    </w:rPr>
  </w:style>
  <w:style w:type="character" w:customStyle="1" w:styleId="22">
    <w:name w:val="font51"/>
    <w:qFormat/>
    <w:uiPriority w:val="0"/>
    <w:rPr>
      <w:rFonts w:hint="default" w:ascii="Times New Roman" w:hAnsi="Times New Roman" w:cs="Times New Roman"/>
      <w:color w:val="000000"/>
      <w:sz w:val="24"/>
      <w:szCs w:val="24"/>
      <w:u w:val="none"/>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2725</Words>
  <Characters>15534</Characters>
  <Lines>129</Lines>
  <Paragraphs>36</Paragraphs>
  <TotalTime>0</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2023-03-13T07:36:00Z</dcterms:created>
  <dc:creator>ylh</dc:creator>
  <cp:keywords>新版</cp:keywords>
  <cp:lastModifiedBy>苏晨晓</cp:lastModifiedBy>
  <dcterms:modified xsi:type="dcterms:W3CDTF">2025-07-24T05:55:31Z</dcterms:modified>
  <dc:title>华夏理财固定收益纯债型</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