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Theme="minorEastAsia" w:hAnsiTheme="minorEastAsia" w:eastAsiaTheme="minorEastAsia"/>
        </w:rPr>
      </w:pP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南银理财珠联璧合理财管理计划5号开放式公募人民币理财产品</w:t>
      </w:r>
    </w:p>
    <w:p>
      <w:pPr>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r>
        <w:rPr>
          <w:rFonts w:ascii="方正黑体简体" w:eastAsia="方正黑体简体"/>
          <w:sz w:val="36"/>
          <w:szCs w:val="36"/>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W w:w="8959"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894"/>
        <w:gridCol w:w="60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产品全称</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南银理财珠联璧合理财管理计划5号开放式公募人民币理财产品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7"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产品登记编码</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Z7003220000018（投资者可依据该编码在中国理财网www.chinawealth.com.cn查询理财产品相关信息）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产品运作方式</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产品成立日</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2020年10月23日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报告期末产品份额总额</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4,885,244,047.43份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9"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合作机构</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万家基金管理有限公司,中粮信托有限责任公司,中诚信托有限责任公司,中银基金管理有限公司,兴业基金管理有限公司,南京证券股份有限公司,天弘基金管理有限公司,平安基金管理有限公司,广发基金管理有限公司,招商基金管理有限公司,永赢基金管理有限公司,鑫元基金管理有限公司,鑫沅资产管理有限公司,鹏华基金管理有限公司,易方达基金管理有限公司,南方基金管理股份有限公司,景顺长城基金管理有限公司,交银施罗德基金管理有限公司,上海东方证券资产管理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产品管理人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3" w:hRule="atLeast"/>
        </w:trPr>
        <w:tc>
          <w:tcPr>
            <w:tcW w:w="2894"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产品托管人</w:t>
            </w:r>
          </w:p>
        </w:tc>
        <w:tc>
          <w:tcPr>
            <w:tcW w:w="6065" w:type="dxa"/>
            <w:vAlign w:val="center"/>
          </w:tcPr>
          <w:p>
            <w:pPr>
              <w:snapToGrid/>
              <w:spacing w:before="48" w:beforeLines="20" w:after="48" w:afterLines="20"/>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主要财务指标和产品业绩比较基准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296"/>
        <w:gridCol w:w="2705"/>
        <w:gridCol w:w="2030"/>
        <w:gridCol w:w="20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3" w:hRule="atLeast"/>
          <w:jc w:val="center"/>
        </w:trPr>
        <w:tc>
          <w:tcPr>
            <w:tcW w:w="2296" w:type="dxa"/>
            <w:vMerge w:val="restart"/>
            <w:vAlign w:val="center"/>
          </w:tcPr>
          <w:p>
            <w:pPr>
              <w:spacing w:before="48" w:beforeLines="20" w:after="48" w:afterLines="20" w:line="360" w:lineRule="auto"/>
              <w:jc w:val="center"/>
              <w:rPr>
                <w:rFonts w:ascii="方正仿宋简体" w:eastAsia="方正仿宋简体"/>
                <w:sz w:val="24"/>
                <w:szCs w:val="24"/>
              </w:rPr>
            </w:pPr>
            <w:r>
              <w:rPr>
                <w:rFonts w:hint="eastAsia" w:ascii="方正仿宋简体" w:eastAsia="方正仿宋简体"/>
                <w:sz w:val="24"/>
                <w:szCs w:val="24"/>
              </w:rPr>
              <w:t>内部销售代码</w:t>
            </w:r>
          </w:p>
        </w:tc>
        <w:tc>
          <w:tcPr>
            <w:tcW w:w="6771" w:type="dxa"/>
            <w:gridSpan w:val="3"/>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64" w:hRule="atLeast"/>
          <w:jc w:val="center"/>
        </w:trPr>
        <w:tc>
          <w:tcPr>
            <w:tcW w:w="2296" w:type="dxa"/>
            <w:vMerge w:val="continue"/>
            <w:vAlign w:val="center"/>
          </w:tcPr>
          <w:p>
            <w:pPr>
              <w:spacing w:before="48" w:beforeLines="20" w:after="48" w:afterLines="20" w:line="360" w:lineRule="auto"/>
              <w:jc w:val="center"/>
              <w:rPr>
                <w:rFonts w:ascii="方正仿宋简体" w:eastAsia="方正仿宋简体"/>
                <w:sz w:val="24"/>
                <w:szCs w:val="24"/>
              </w:rPr>
            </w:pPr>
          </w:p>
        </w:tc>
        <w:tc>
          <w:tcPr>
            <w:tcW w:w="270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030"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036"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Z11009</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4,176,233,010.28</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1.1868</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1.1868</w:t>
            </w:r>
          </w:p>
        </w:tc>
      </w:tr>
      <w:tr>
        <w:trPr>
          <w:trHeight w:val="557" w:hRule="atLeast"/>
          <w:jc w:val="center"/>
        </w:trPr>
        <w:tc>
          <w:tcPr>
            <w:tcW w:w="229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Z11010</w:t>
            </w:r>
          </w:p>
        </w:tc>
        <w:tc>
          <w:tcPr>
            <w:tcW w:w="2705"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1,627,806,382.74</w:t>
            </w:r>
          </w:p>
        </w:tc>
        <w:tc>
          <w:tcPr>
            <w:tcW w:w="2030"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1.1913</w:t>
            </w:r>
          </w:p>
        </w:tc>
        <w:tc>
          <w:tcPr>
            <w:tcW w:w="2036" w:type="dxa"/>
            <w:vAlign w:val="center"/>
            <w:vAlign w:val="center"/>
          </w:tcPr>
          <w:p>
            <w:pPr>
              <w:spacing w:before="48" w:beforeLines="20" w:after="48" w:afterLines="20" w:line="360" w:lineRule="auto"/>
              <w:jc w:val="center"/>
              <w:textAlignment w:val="center"/>
              <w:rPr>
                <w:rFonts w:ascii="方正仿宋简体" w:eastAsia="方正仿宋简体"/>
                <w:sz w:val="24"/>
                <w:szCs w:val="24"/>
              </w:rPr>
            </w:pPr>
            <w:r>
              <w:rPr>
                <w:rFonts w:ascii="方正仿宋简体" w:hAnsi="方正仿宋简体" w:cs="方正仿宋简体" w:eastAsia="方正仿宋简体"/>
                <w:sz w:val="24"/>
              </w:rPr>
              <w:t>1.1913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 产品业绩比较基准</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2.2.1本报告期产品业绩比较基准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4485"/>
        <w:gridCol w:w="2095"/>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448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阶段</w:t>
            </w:r>
          </w:p>
        </w:tc>
        <w:tc>
          <w:tcPr>
            <w:tcW w:w="2095"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2322" w:type="dxa"/>
            <w:vAlign w:val="center"/>
          </w:tcPr>
          <w:p>
            <w:pPr>
              <w:snapToGrid/>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业绩比较基准</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2025年04月01日 - 2025年06月30日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Z11009</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w:t>
            </w:r>
          </w:p>
        </w:tc>
      </w:tr>
      <w:tr>
        <w:trPr>
          <w:jc w:val="center"/>
        </w:trPr>
        <w:tc>
          <w:tcPr>
            <w:tcW w:w="448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2025年04月01日 - 2025年06月30日</w:t>
            </w:r>
          </w:p>
        </w:tc>
        <w:tc>
          <w:tcPr>
            <w:tcW w:w="2095"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Z11010</w:t>
            </w:r>
          </w:p>
        </w:tc>
        <w:tc>
          <w:tcPr>
            <w:tcW w:w="2322" w:type="dxa"/>
            <w:vAlign w:val="center"/>
            <w:vAlign w:val="center"/>
          </w:tcPr>
          <w:p>
            <w:pPr>
              <w:snapToGrid/>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4.26%</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r>
        <w:rPr>
          <w:rFonts w:hint="eastAsia" w:ascii="方正仿宋简体" w:eastAsia="方正仿宋简体"/>
          <w:b/>
          <w:sz w:val="24"/>
          <w:szCs w:val="24"/>
        </w:rPr>
        <w:tab/>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美国超预期宣布“对等关税”，全球供需格局和金融市场都随该事件演变大幅波动。国内地产投资拖累延续，制造业投资高位回落，受政策补贴相关消费领域表现较好，出口受抢出口带动保持一定韧性。“对等关税”落地后，央行发布一揽子金融政策，包括降准降息，设立再贷款工具等，资金中枢整体下移。</w:t>
        <w:br w:type="textWrapping" w:clear="all"/>
      </w:r>
      <w:r>
        <w:rPr>
          <w:rFonts w:hint="eastAsia" w:ascii="方正仿宋简体" w:eastAsia="方正仿宋简体"/>
          <w:sz w:val="24"/>
          <w:szCs w:val="24"/>
        </w:rPr>
        <w:t>  市场方面，债券收益率在美宣布“对等关税”后快速下行，之后受关税谈判、政府债供给、银行负债端压力等因素影响窄幅震荡，但在资金面呵护下，波动幅度不大。至半年末，收益率基本回到年初位置附近。与之相反，权益市场在关税宣布初期大幅调整，之后逐步消化，走出深V走势，主要宽基指数均修复至关税冲击前，其中银行板块表现强势，创历史新高。</w:t>
        <w:br w:type="textWrapping" w:clear="all"/>
      </w:r>
      <w:r>
        <w:rPr>
          <w:rFonts w:hint="eastAsia" w:ascii="方正仿宋简体" w:eastAsia="方正仿宋简体"/>
          <w:sz w:val="24"/>
          <w:szCs w:val="24"/>
        </w:rPr>
        <w:t>  展望后市，三季度出口下行压力预计逐步加大，经济动能有所回落，基本面和货币政策对债市偏友好，但收益率明显突破下行亦需要有新的催化剂出现，操作上以中性久期应对，等待交易性机会出现。</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  本产品主要投向具有良好流动性的金融工具（包括但不限于国内依法发行的债券和证券投资基金等），并对标的进行分散化投资，防范流动性风险。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截至报告期末，本产品Z11009份额净值为1.1868元，Z11010份额净值为1.1913元。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250301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25进出01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199,766,000.00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ZJQTT202112280001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景顺长城南景悦享1号集合资产管理计划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181,897,667.24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中粮信托·丰收1号集合资金信托计划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156,792,054.44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2128051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21工商银行二级02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122,934,480.00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ZJQTT202103220021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南方基金恒远尊享1号集合资产管理计划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121,613,865.01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招商基金-安鑫2号集合资产管理计划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104,826,564.32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114681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20DFCX01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102,342,500.00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032480409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24沪地产PPN001(保障性住房平急两用)</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101,108,000.00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102382877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23中铝国工MTN001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100,724,200.00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250009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25附息国债09</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99,615,600.00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63"/>
        <w:gridCol w:w="1671"/>
        <w:gridCol w:w="1252"/>
        <w:gridCol w:w="1511"/>
        <w:gridCol w:w="1357"/>
        <w:gridCol w:w="1248"/>
        <w:gridCol w:w="1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6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6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1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5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4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100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6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6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52"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1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5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4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00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696"/>
        <w:gridCol w:w="156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69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6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69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6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0120040000000473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南京银行理财管理计划5号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napToGrid/>
        <w:spacing w:before="240" w:after="72" w:line="360" w:lineRule="auto"/>
        <w:ind w:firstLine="480" w:firstLineChars="200"/>
        <w:jc w:val="both"/>
        <w:rPr>
          <w:rFonts w:hint="eastAsia" w:ascii="方正仿宋简体" w:eastAsia="方正仿宋简体"/>
          <w:sz w:val="24"/>
          <w:szCs w:val="24"/>
        </w:rPr>
      </w:pPr>
      <w:r>
        <w:rPr>
          <w:rFonts w:hint="eastAsia" w:ascii="方正仿宋简体" w:eastAsia="方正仿宋简体"/>
          <w:sz w:val="24"/>
          <w:szCs w:val="24"/>
        </w:rPr>
        <w:t>产品投资于</w:t>
      </w:r>
      <w:bookmarkStart w:id="0" w:name="_GoBack"/>
      <w:bookmarkEnd w:id="0"/>
      <w:r>
        <w:rPr>
          <w:rFonts w:hint="eastAsia" w:ascii="方正仿宋简体" w:eastAsia="方正仿宋简体"/>
          <w:sz w:val="24"/>
          <w:szCs w:val="24"/>
        </w:rPr>
        <w:t>关联方作为融资人的非标准化债权类资产业务交易金额0.00元。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产品支付关联方托管费417,810.04元，支付关联方代销费4,173,429.68元。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产品发生其他关联交易金额0.00元。</w:t>
      </w:r>
    </w:p>
    <w:p>
      <w:pPr>
        <w:snapToGrid/>
        <w:spacing w:before="240" w:after="72" w:line="360" w:lineRule="auto"/>
        <w:ind w:firstLine="480" w:firstLineChars="200"/>
        <w:jc w:val="both"/>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eastAsia="方正仿宋_GBK"/>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Consolas">
    <w:panose1 w:val="020B0609020204030204"/>
    <w:charset w:val="00"/>
    <w:family w:val="auto"/>
    <w:pitch w:val="default"/>
    <w:sig w:usb0="E10002FF" w:usb1="4000FCFF" w:usb2="00000009" w:usb3="00000000" w:csb0="6000019F" w:csb1="DFD7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0"/>
  <w:bordersDoNotSurroundFooter w:val="0"/>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WYyNWQ5MDZiYWM3OWVhN2E1ZmU3ZDVmOTg3Nzk4MzgifQ=="/>
  </w:docVars>
  <w:rsids>
    <w:rsidRoot w:val="005A7904"/>
    <w:rsid w:val="000044BE"/>
    <w:rsid w:val="000121D1"/>
    <w:rsid w:val="00012B94"/>
    <w:rsid w:val="00012CAC"/>
    <w:rsid w:val="000203D8"/>
    <w:rsid w:val="000215AD"/>
    <w:rsid w:val="00063EA9"/>
    <w:rsid w:val="00072345"/>
    <w:rsid w:val="00097C35"/>
    <w:rsid w:val="000B288D"/>
    <w:rsid w:val="000B2B7B"/>
    <w:rsid w:val="000B4524"/>
    <w:rsid w:val="000C61EE"/>
    <w:rsid w:val="00106906"/>
    <w:rsid w:val="0012494A"/>
    <w:rsid w:val="0013793E"/>
    <w:rsid w:val="00137D06"/>
    <w:rsid w:val="001421A0"/>
    <w:rsid w:val="0015692D"/>
    <w:rsid w:val="001765C7"/>
    <w:rsid w:val="0018311F"/>
    <w:rsid w:val="00210CF6"/>
    <w:rsid w:val="0021176D"/>
    <w:rsid w:val="00245BA0"/>
    <w:rsid w:val="00247E87"/>
    <w:rsid w:val="00262B4B"/>
    <w:rsid w:val="002C44B3"/>
    <w:rsid w:val="002E0397"/>
    <w:rsid w:val="00303D68"/>
    <w:rsid w:val="0030434F"/>
    <w:rsid w:val="00320EE0"/>
    <w:rsid w:val="0032401B"/>
    <w:rsid w:val="0034796F"/>
    <w:rsid w:val="00352282"/>
    <w:rsid w:val="00355FD9"/>
    <w:rsid w:val="00375A11"/>
    <w:rsid w:val="0039556B"/>
    <w:rsid w:val="00395C1C"/>
    <w:rsid w:val="003C00A0"/>
    <w:rsid w:val="003D3C54"/>
    <w:rsid w:val="0040415E"/>
    <w:rsid w:val="00414B37"/>
    <w:rsid w:val="0041563E"/>
    <w:rsid w:val="00463146"/>
    <w:rsid w:val="004822D3"/>
    <w:rsid w:val="00486D6C"/>
    <w:rsid w:val="0049452A"/>
    <w:rsid w:val="004A024D"/>
    <w:rsid w:val="004C1007"/>
    <w:rsid w:val="004D7F94"/>
    <w:rsid w:val="004E5012"/>
    <w:rsid w:val="004F1BE6"/>
    <w:rsid w:val="004F595C"/>
    <w:rsid w:val="00505062"/>
    <w:rsid w:val="0055573F"/>
    <w:rsid w:val="00573EE2"/>
    <w:rsid w:val="005A7904"/>
    <w:rsid w:val="005B2789"/>
    <w:rsid w:val="005B5E17"/>
    <w:rsid w:val="005D04CF"/>
    <w:rsid w:val="005F031B"/>
    <w:rsid w:val="005F7956"/>
    <w:rsid w:val="006053C4"/>
    <w:rsid w:val="00631F68"/>
    <w:rsid w:val="0063323A"/>
    <w:rsid w:val="00650C13"/>
    <w:rsid w:val="006754C1"/>
    <w:rsid w:val="0067684D"/>
    <w:rsid w:val="00676A68"/>
    <w:rsid w:val="0068398A"/>
    <w:rsid w:val="00693399"/>
    <w:rsid w:val="00695491"/>
    <w:rsid w:val="006C7930"/>
    <w:rsid w:val="007120E8"/>
    <w:rsid w:val="00714095"/>
    <w:rsid w:val="00717310"/>
    <w:rsid w:val="007347EF"/>
    <w:rsid w:val="007363F8"/>
    <w:rsid w:val="00751294"/>
    <w:rsid w:val="007620E9"/>
    <w:rsid w:val="00766941"/>
    <w:rsid w:val="007672C3"/>
    <w:rsid w:val="00794F8E"/>
    <w:rsid w:val="007C0575"/>
    <w:rsid w:val="007C36B2"/>
    <w:rsid w:val="007C3F1F"/>
    <w:rsid w:val="007C7DC4"/>
    <w:rsid w:val="007D7CB7"/>
    <w:rsid w:val="007E0C90"/>
    <w:rsid w:val="007E34F4"/>
    <w:rsid w:val="007F2C0A"/>
    <w:rsid w:val="007F53C8"/>
    <w:rsid w:val="008030B3"/>
    <w:rsid w:val="00810A55"/>
    <w:rsid w:val="00820973"/>
    <w:rsid w:val="0084718A"/>
    <w:rsid w:val="00850FCA"/>
    <w:rsid w:val="00870344"/>
    <w:rsid w:val="008833A7"/>
    <w:rsid w:val="00894D12"/>
    <w:rsid w:val="008C7314"/>
    <w:rsid w:val="008F5BE6"/>
    <w:rsid w:val="009150F2"/>
    <w:rsid w:val="0093559E"/>
    <w:rsid w:val="00944F3B"/>
    <w:rsid w:val="009515A9"/>
    <w:rsid w:val="009663C6"/>
    <w:rsid w:val="009800BA"/>
    <w:rsid w:val="009904D8"/>
    <w:rsid w:val="009D0C1A"/>
    <w:rsid w:val="009D656A"/>
    <w:rsid w:val="009D6737"/>
    <w:rsid w:val="009D6D5E"/>
    <w:rsid w:val="009E2AE4"/>
    <w:rsid w:val="009E6E45"/>
    <w:rsid w:val="009F0D8D"/>
    <w:rsid w:val="009F7125"/>
    <w:rsid w:val="00A112F8"/>
    <w:rsid w:val="00A12D79"/>
    <w:rsid w:val="00A274D5"/>
    <w:rsid w:val="00A55DE1"/>
    <w:rsid w:val="00A60FAC"/>
    <w:rsid w:val="00A61A2A"/>
    <w:rsid w:val="00A72E96"/>
    <w:rsid w:val="00A81610"/>
    <w:rsid w:val="00AB2343"/>
    <w:rsid w:val="00AB6CFB"/>
    <w:rsid w:val="00AE2FD4"/>
    <w:rsid w:val="00B1693A"/>
    <w:rsid w:val="00B30356"/>
    <w:rsid w:val="00B31E80"/>
    <w:rsid w:val="00B54020"/>
    <w:rsid w:val="00B6100D"/>
    <w:rsid w:val="00B612B8"/>
    <w:rsid w:val="00B751B8"/>
    <w:rsid w:val="00B86655"/>
    <w:rsid w:val="00B91322"/>
    <w:rsid w:val="00B92DFA"/>
    <w:rsid w:val="00BA2C30"/>
    <w:rsid w:val="00BD00A8"/>
    <w:rsid w:val="00C17A02"/>
    <w:rsid w:val="00C62A28"/>
    <w:rsid w:val="00C872EF"/>
    <w:rsid w:val="00C945B6"/>
    <w:rsid w:val="00CA4B23"/>
    <w:rsid w:val="00CA4CDA"/>
    <w:rsid w:val="00D038A1"/>
    <w:rsid w:val="00D21AF8"/>
    <w:rsid w:val="00D35825"/>
    <w:rsid w:val="00D36374"/>
    <w:rsid w:val="00D45351"/>
    <w:rsid w:val="00D83890"/>
    <w:rsid w:val="00D95925"/>
    <w:rsid w:val="00DB25C1"/>
    <w:rsid w:val="00DB5077"/>
    <w:rsid w:val="00DD60D3"/>
    <w:rsid w:val="00DE5E66"/>
    <w:rsid w:val="00DE6F49"/>
    <w:rsid w:val="00E022D1"/>
    <w:rsid w:val="00E06F91"/>
    <w:rsid w:val="00E13E4F"/>
    <w:rsid w:val="00E22F50"/>
    <w:rsid w:val="00E355D3"/>
    <w:rsid w:val="00E467AB"/>
    <w:rsid w:val="00E5116E"/>
    <w:rsid w:val="00E728E0"/>
    <w:rsid w:val="00EB38B7"/>
    <w:rsid w:val="00EB5E48"/>
    <w:rsid w:val="00EB6923"/>
    <w:rsid w:val="00EC5DC8"/>
    <w:rsid w:val="00EF1F1C"/>
    <w:rsid w:val="00F01D00"/>
    <w:rsid w:val="00F02F01"/>
    <w:rsid w:val="00F035EE"/>
    <w:rsid w:val="00F167FC"/>
    <w:rsid w:val="00F2084D"/>
    <w:rsid w:val="00F359BD"/>
    <w:rsid w:val="00F4518F"/>
    <w:rsid w:val="00F50865"/>
    <w:rsid w:val="00F62D3E"/>
    <w:rsid w:val="00F65097"/>
    <w:rsid w:val="00F81499"/>
    <w:rsid w:val="00F81FB3"/>
    <w:rsid w:val="00F90D3B"/>
    <w:rsid w:val="00F91E69"/>
    <w:rsid w:val="00F95842"/>
    <w:rsid w:val="00FB320C"/>
    <w:rsid w:val="00FB40D3"/>
    <w:rsid w:val="00FB54AE"/>
    <w:rsid w:val="00FE41E6"/>
    <w:rsid w:val="0A32571F"/>
    <w:rsid w:val="0CC420DD"/>
    <w:rsid w:val="1FC4188E"/>
    <w:rsid w:val="35136ADD"/>
    <w:rsid w:val="4D550AEB"/>
    <w:rsid w:val="509470EC"/>
    <w:rsid w:val="59E74023"/>
    <w:rsid w:val="5EBA334B"/>
    <w:rsid w:val="654F116F"/>
    <w:rsid w:val="67344534"/>
    <w:rsid w:val="6B00012E"/>
    <w:rsid w:val="702871A7"/>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napToGrid w:val="0"/>
      <w:spacing w:afterLines="30"/>
    </w:pPr>
    <w:rPr>
      <w:rFonts w:ascii="Times New Roman" w:hAnsi="Times New Roman" w:eastAsia="宋体" w:cs="Times New Roman"/>
      <w:kern w:val="2"/>
      <w:sz w:val="21"/>
      <w:szCs w:val="22"/>
      <w:lang w:val="en-US" w:eastAsia="zh-CN" w:bidi="ar-SA"/>
    </w:rPr>
  </w:style>
  <w:style w:type="character" w:default="1" w:styleId="5">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jc w:val="center"/>
    </w:pPr>
    <w:rPr>
      <w:sz w:val="18"/>
      <w:szCs w:val="18"/>
    </w:rPr>
  </w:style>
  <w:style w:type="paragraph" w:styleId="4">
    <w:name w:val="Normal (Web)"/>
    <w:basedOn w:val="1"/>
    <w:qFormat/>
    <w:uiPriority w:val="0"/>
    <w:pPr>
      <w:spacing w:before="100" w:beforeAutospacing="1" w:after="100" w:afterAutospacing="1"/>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1">
    <w:name w:val="zhangjie_p2"/>
    <w:basedOn w:val="1"/>
    <w:qFormat/>
    <w:uiPriority w:val="0"/>
    <w:pPr>
      <w:autoSpaceDE w:val="0"/>
      <w:autoSpaceDN w:val="0"/>
      <w:adjustRightInd w:val="0"/>
      <w:spacing w:before="24" w:line="288" w:lineRule="auto"/>
      <w:ind w:left="15"/>
    </w:pPr>
    <w:rPr>
      <w:rFonts w:ascii="宋体" w:hAnsi="宋体" w:cs="宋体"/>
      <w:kern w:val="0"/>
      <w:sz w:val="24"/>
      <w:szCs w:val="24"/>
    </w:rPr>
  </w:style>
  <w:style w:type="paragraph" w:customStyle="1" w:styleId="12">
    <w:name w:val="biaoge_center"/>
    <w:basedOn w:val="1"/>
    <w:qFormat/>
    <w:uiPriority w:val="0"/>
    <w:pPr>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autoSpaceDE w:val="0"/>
      <w:autoSpaceDN w:val="0"/>
      <w:adjustRightInd w:val="0"/>
      <w:spacing w:before="29" w:line="288" w:lineRule="auto"/>
      <w:ind w:left="15"/>
    </w:pPr>
    <w:rPr>
      <w:rFonts w:ascii="宋体" w:hAnsi="宋体" w:cs="宋体"/>
      <w:kern w:val="0"/>
      <w:sz w:val="24"/>
      <w:szCs w:val="24"/>
    </w:rPr>
  </w:style>
  <w:style w:type="paragraph" w:customStyle="1" w:styleId="17">
    <w:name w:val="zhangjie_p"/>
    <w:basedOn w:val="1"/>
    <w:qFormat/>
    <w:uiPriority w:val="0"/>
    <w:pPr>
      <w:autoSpaceDE w:val="0"/>
      <w:autoSpaceDN w:val="0"/>
      <w:adjustRightInd w:val="0"/>
      <w:spacing w:before="24" w:line="288" w:lineRule="auto"/>
      <w:ind w:left="15"/>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 w:type="paragraph" w:customStyle="1" w:styleId="20">
    <w:name w:val="列出段落1"/>
    <w:basedOn w:val="1"/>
    <w:qFormat/>
    <w:uiPriority w:val="99"/>
    <w:pPr>
      <w:ind w:firstLine="420" w:firstLineChars="200"/>
    </w:p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346</Words>
  <Characters>1974</Characters>
  <Lines>16</Lines>
  <Paragraphs>4</Paragraphs>
  <ScaleCrop>false</ScaleCrop>
  <LinksUpToDate>false</LinksUpToDate>
  <CharactersWithSpaces>2316</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2022-07-23T09:20:00Z</dcterms:created>
  <dc:creator>演示人</dc:creator>
  <cp:lastModifiedBy>兆尹科技</cp:lastModifiedBy>
  <dcterms:modified xsi:type="dcterms:W3CDTF">2024-02-05T03:10:37Z</dcterms:modified>
  <cp:revision>124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DA7D07A671F94F61B430BF557E8AE20F</vt:lpwstr>
  </property>
</Properties>
</file>