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南银理财鼎瑞悦稳红利（最低持有1092天）公募人民币理财产品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7"/>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南银理财鼎瑞悦稳红利（最低持有1092天）公募人民币理财产品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Z7003223000244（投资者可依据该编码在中国理财网www.chinawealth.com.cn查询理财产品相关信息）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2023年12月14日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1,010,874,215.32份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中粮信托有限责任公司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7"/>
        <w:tblpPr w:leftFromText="180" w:rightFromText="180" w:vertAnchor="text" w:tblpXSpec="center" w:tblpY="1"/>
        <w:tblOverlap w:val="never"/>
        <w:tblW w:w="906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A34001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997,827,509.07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1.010795</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1.060295</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A34003</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12,087,899.31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1.010014</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1.055073</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A34004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11,863,201.49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1.010872</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1.054783</w:t>
            </w:r>
          </w:p>
        </w:tc>
      </w:tr>
    </w:tbl>
    <w:p>
      <w:pPr>
        <w:pStyle w:val="10"/>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  操作方面，坚持稳健运作的投资理念，对于利差保护较足的信用资产积极配置，同时关注交易活跃品种的波段机会，结合收益率水平做好久期与杠杆管理，获取稳健的投资回报。</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  本产品持仓资产以债券为主，在持仓中维持合理比例高流动性资产，产品流动性状况较好。</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截至报告期末，本产品A34001份额净值为1.010795元，A34003份额净值为1.010014元，A34004份额净值为1.010872元。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7"/>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81.35%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18.65%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ZJQTT202308040001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507,670,213.04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49.68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ZJQTT202309270002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中粮信托-鼎兴8号集合资金信托计划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334,166,385.67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32.70</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256242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24通投03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52,435,050.00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5.13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256265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24清浦02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46,641,420.00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252510</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23丰开04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10,398,810.00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252335</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23博融02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10,379,320.00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252098</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23盐交03</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10,365,080.00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252477</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23丰港04</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10,363,850.00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252189</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23丰鑫01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10,301,290.00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253380</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23泰滨07</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10,258,880.00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7"/>
        <w:tblpPr w:leftFromText="180" w:rightFromText="180" w:vertAnchor="text" w:tblpXSpec="center" w:tblpY="1"/>
        <w:tblOverlap w:val="never"/>
        <w:tblW w:w="892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7"/>
        <w:tblpPr w:leftFromText="180" w:rightFromText="180" w:vertAnchor="text" w:tblpXSpec="center" w:tblpY="1"/>
        <w:tblOverlap w:val="never"/>
        <w:tblW w:w="89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0101060000000826</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南京银行南京分行南银理财鼎瑞悦稳红利最低持有1092天</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bookmarkStart w:id="0" w:name="_GoBack"/>
      <w:bookmarkEnd w:id="0"/>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产品支付关联方托管费51,368.55元，支付关联方代销费219,959.37元。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after="72" w:line="360" w:lineRule="auto"/>
        <w:rPr>
          <w:rFonts w:ascii="方正仿宋_GBK" w:hAnsi="宋体" w:eastAsia="方正仿宋_GBK" w:cs="宋体"/>
          <w:kern w:val="0"/>
          <w:sz w:val="24"/>
          <w:szCs w:val="24"/>
        </w:rPr>
      </w:pPr>
    </w:p>
    <w:p>
      <w:pPr>
        <w:spacing w:before="240" w:after="72" w:line="360" w:lineRule="auto"/>
        <w:rPr>
          <w:rFonts w:ascii="方正仿宋_GBK" w:hAnsi="宋体" w:eastAsia="方正仿宋_GBK" w:cs="宋体"/>
          <w:kern w:val="0"/>
          <w:sz w:val="24"/>
          <w:szCs w:val="24"/>
        </w:rPr>
      </w:pPr>
    </w:p>
    <w:p>
      <w:pPr>
        <w:spacing w:before="240" w:after="72" w:line="360" w:lineRule="auto"/>
        <w:jc w:val="right"/>
        <w:rPr>
          <w:rFonts w:ascii="方正仿宋_GBK" w:eastAsia="方正仿宋_GBK"/>
          <w:b/>
          <w:sz w:val="24"/>
          <w:szCs w:val="24"/>
        </w:rPr>
      </w:pP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5" w:type="first"/>
      <w:footerReference r:id="rId8" w:type="first"/>
      <w:headerReference r:id="rId3" w:type="default"/>
      <w:footerReference r:id="rId6" w:type="default"/>
      <w:headerReference r:id="rId4" w:type="even"/>
      <w:footerReference r:id="rId7"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简体">
    <w:altName w:val="微软雅黑"/>
    <w:panose1 w:val="00000000000000000000"/>
    <w:charset w:val="86"/>
    <w:family w:val="script"/>
    <w:pitch w:val="default"/>
    <w:sig w:usb0="00000000" w:usb1="00000000" w:usb2="00000010" w:usb3="00000000" w:csb0="00040000" w:csb1="00000000"/>
  </w:font>
  <w:font w:name="方正仿宋简体">
    <w:altName w:val="Arial Unicode MS"/>
    <w:panose1 w:val="00000000000000000000"/>
    <w:charset w:val="86"/>
    <w:family w:val="script"/>
    <w:pitch w:val="default"/>
    <w:sig w:usb0="00000000" w:usb1="00000000" w:usb2="00000010" w:usb3="00000000" w:csb0="00040000" w:csb1="00000000"/>
  </w:font>
  <w:font w:name="方正仿宋_GBK">
    <w:altName w:val="Arial Unicode MS"/>
    <w:panose1 w:val="00000000000000000000"/>
    <w:charset w:val="86"/>
    <w:family w:val="script"/>
    <w:pitch w:val="default"/>
    <w:sig w:usb0="00000000" w:usb1="00000000" w:usb2="00000010" w:usb3="00000000" w:csb0="00040000"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 w:name="方正仿宋简体">
    <w:altName w:val="Arial Unicode MS"/>
    <w:panose1 w:val="00000000000000000000"/>
    <w:charset w:val="00"/>
    <w:family w:val="auto"/>
    <w:pitch w:val="default"/>
    <w:sig w:usb0="00000000" w:usb1="00000000" w:usb2="00000000" w:usb3="00000000" w:csb0="00000000"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spacing w:after="72"/>
      <w:rPr>
        <w:rStyle w:val="6"/>
      </w:rPr>
    </w:pPr>
    <w:r>
      <w:fldChar w:fldCharType="begin"/>
    </w:r>
    <w:r>
      <w:rPr>
        <w:rStyle w:val="6"/>
      </w:rPr>
      <w:instrText xml:space="preserve">PAGE  </w:instrText>
    </w:r>
    <w:r>
      <w:fldChar w:fldCharType="end"/>
    </w:r>
  </w:p>
  <w:p>
    <w:pPr>
      <w:pStyle w:val="2"/>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spacing w:after="7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651710C"/>
    <w:rsid w:val="2C5F4270"/>
    <w:rsid w:val="341F714B"/>
    <w:rsid w:val="57DD4EC8"/>
    <w:rsid w:val="611546EB"/>
    <w:rsid w:val="6C686480"/>
    <w:rsid w:val="6DBF574D"/>
    <w:rsid w:val="7DD408B3"/>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eastAsiaTheme="minorEastAsia"/>
      <w:sz w:val="18"/>
      <w:szCs w:val="18"/>
    </w:rPr>
  </w:style>
  <w:style w:type="paragraph" w:styleId="3">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6">
    <w:name w:val="page number"/>
    <w:basedOn w:val="5"/>
    <w:unhideWhenUsed/>
    <w:qFormat/>
    <w:uiPriority w:val="99"/>
  </w:style>
  <w:style w:type="character" w:customStyle="1" w:styleId="8">
    <w:name w:val="页脚 Char"/>
    <w:link w:val="2"/>
    <w:qFormat/>
    <w:locked/>
    <w:uiPriority w:val="99"/>
    <w:rPr>
      <w:rFonts w:ascii="Times New Roman" w:hAnsi="Times New Roman" w:cs="Times New Roman"/>
      <w:sz w:val="18"/>
      <w:szCs w:val="18"/>
    </w:rPr>
  </w:style>
  <w:style w:type="character" w:customStyle="1" w:styleId="9">
    <w:name w:val="页脚 Char1"/>
    <w:basedOn w:val="5"/>
    <w:semiHidden/>
    <w:qFormat/>
    <w:uiPriority w:val="99"/>
    <w:rPr>
      <w:rFonts w:ascii="Times New Roman" w:hAnsi="Times New Roman" w:eastAsia="宋体" w:cs="Times New Roman"/>
      <w:sz w:val="18"/>
      <w:szCs w:val="18"/>
    </w:rPr>
  </w:style>
  <w:style w:type="paragraph" w:customStyle="1" w:styleId="10">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1">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2">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3">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5">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6">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7">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19">
    <w:name w:val="页眉 Char"/>
    <w:basedOn w:val="5"/>
    <w:link w:val="3"/>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customXml/item1.xml" Type="http://schemas.openxmlformats.org/officeDocument/2006/relationships/customXml"/><Relationship Id="rId11" Target="fontTable.xml" Type="http://schemas.openxmlformats.org/officeDocument/2006/relationships/fontTable"/><Relationship Id="rId2" Target="settings.xml" Type="http://schemas.openxmlformats.org/officeDocument/2006/relationships/settings"/><Relationship Id="rId3" Target="header1.xml" Type="http://schemas.openxmlformats.org/officeDocument/2006/relationships/header"/><Relationship Id="rId4" Target="header2.xml" Type="http://schemas.openxmlformats.org/officeDocument/2006/relationships/header"/><Relationship Id="rId5" Target="header3.xml" Type="http://schemas.openxmlformats.org/officeDocument/2006/relationships/header"/><Relationship Id="rId6" Target="footer1.xml" Type="http://schemas.openxmlformats.org/officeDocument/2006/relationships/footer"/><Relationship Id="rId7" Target="footer2.xml" Type="http://schemas.openxmlformats.org/officeDocument/2006/relationships/footer"/><Relationship Id="rId8" Target="footer3.xml" Type="http://schemas.openxmlformats.org/officeDocument/2006/relationships/footer"/><Relationship Id="rId9"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ScaleCrop>false</ScaleCrop>
  <LinksUpToDate>false</LinksUpToDate>
  <CharactersWithSpaces>2108</CharactersWithSpaces>
  <Application>WPS Office_10.8.0.6058_F1E327BC-269C-435d-A152-05C5408002CA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兆尹科技</cp:lastModifiedBy>
  <dcterms:modified xsi:type="dcterms:W3CDTF">2024-02-05T03:10:51Z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2052-10.8.0.6058</vt:lpwstr>
  </property>
  <property fmtid="{D5CDD505-2E9C-101B-9397-08002B2CF9AE}" pid="3" name="ICV">
    <vt:lpwstr>65B57D7BDF384424A76A3B84B5FDE380</vt:lpwstr>
  </property>
</Properties>
</file>