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华文中宋" w:hAnsi="华文中宋" w:eastAsia="华文中宋" w:cs="华文中宋"/>
          <w:sz w:val="36"/>
          <w:szCs w:val="36"/>
        </w:rPr>
      </w:pP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幸福99鸿益（金盈）270天持有期理财C款业绩比较基准</w:t>
      </w:r>
      <w:r>
        <w:rPr>
          <w:rFonts w:hint="eastAsia" w:ascii="华文中宋" w:hAnsi="华文中宋" w:eastAsia="华文中宋" w:cs="华文中宋"/>
          <w:sz w:val="36"/>
          <w:szCs w:val="36"/>
        </w:rPr>
        <w:t>调整公告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尊敬的投资者：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自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2025年6月16日</w:t>
      </w:r>
      <w:r>
        <w:rPr>
          <w:rFonts w:hint="eastAsia" w:ascii="仿宋_GB2312" w:hAnsi="仿宋_GB2312" w:eastAsia="仿宋_GB2312" w:cs="仿宋_GB2312"/>
          <w:sz w:val="30"/>
          <w:szCs w:val="30"/>
        </w:rPr>
        <w:t>起，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幸福99鸿益（金盈）270天持有期理财C款</w:t>
      </w:r>
      <w:r>
        <w:rPr>
          <w:rFonts w:hint="eastAsia" w:ascii="仿宋_GB2312" w:hAnsi="仿宋_GB2312" w:eastAsia="仿宋_GB2312" w:cs="仿宋_GB2312"/>
          <w:sz w:val="30"/>
          <w:szCs w:val="30"/>
        </w:rPr>
        <w:t>（产品代码：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HYGC270D2407C</w:t>
      </w:r>
      <w:r>
        <w:rPr>
          <w:rFonts w:hint="eastAsia" w:ascii="仿宋_GB2312" w:hAnsi="仿宋_GB2312" w:eastAsia="仿宋_GB2312" w:cs="仿宋_GB2312"/>
          <w:sz w:val="30"/>
          <w:szCs w:val="30"/>
        </w:rPr>
        <w:t>）将调整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业绩比较基准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敬请投资者关注，做好投资安排。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具体调整如下：</w:t>
      </w:r>
    </w:p>
    <w:tbl>
      <w:tblPr>
        <w:tblStyle w:val="8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0"/>
        <w:gridCol w:w="3170"/>
        <w:gridCol w:w="3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销售代码</w:t>
            </w:r>
          </w:p>
        </w:tc>
        <w:tc>
          <w:tcPr>
            <w:tcW w:w="317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调整前</w:t>
            </w:r>
          </w:p>
        </w:tc>
        <w:tc>
          <w:tcPr>
            <w:tcW w:w="305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调整后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HYGC270D2407C</w:t>
            </w:r>
          </w:p>
        </w:tc>
        <w:tc>
          <w:tcPr>
            <w:tcW w:w="3170" w:type="dxa"/>
            <w:shd w:val="clear" w:color="auto" w:fill="auto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  <w:t>90%×中债-新综合全价（1-3年）指数+5%×沪深300指数+5%×上海黄金交易所Au99.99</w:t>
            </w:r>
          </w:p>
        </w:tc>
        <w:tc>
          <w:tcPr>
            <w:tcW w:w="305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90%×中债-新综合全价（1-3年）指数（CBA00123.CS）+5%×中证800指数（000906.SH）+5%×上海黄金交易所Au99.99现货实盘合约收盘价（AU9999.SGE）</w:t>
            </w:r>
          </w:p>
        </w:tc>
      </w:tr>
    </w:tbl>
    <w:p>
      <w:pPr>
        <w:numPr>
          <w:ilvl w:val="0"/>
          <w:numId w:val="0"/>
        </w:num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测算依据详见理财计划合同。</w:t>
      </w:r>
    </w:p>
    <w:p>
      <w:pPr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注：本理财计划业绩比较基准由管理人根据投资范围及投资策略，结合市场环境因素进行测算而得出。业绩比较基准是管理人基于理财计划收益风险特征、投资策略、过往经验等因素对理财计划业绩设定的投资目标，不代表理财计划的未来表现和实际收益，也不构成对理财计划收益的承诺。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感谢您一直以来对杭银理财的支持，敬请继续关注杭银理财的理财产品。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bookmarkStart w:id="0" w:name="_GoBack"/>
      <w:bookmarkEnd w:id="0"/>
    </w:p>
    <w:p>
      <w:pPr>
        <w:jc w:val="righ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杭银理财有限责任公司</w:t>
      </w:r>
    </w:p>
    <w:p>
      <w:pPr>
        <w:jc w:val="center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                                 2025年6月10日</w:t>
      </w:r>
    </w:p>
    <w:p>
      <w:pPr>
        <w:widowControl/>
        <w:jc w:val="both"/>
      </w:pPr>
    </w:p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仿宋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03A3DA4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4FC95DF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EE29775"/>
    <w:rsid w:val="6FAE51B6"/>
    <w:rsid w:val="701E6454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  <w:rsid w:val="8FAF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844</Characters>
  <Lines>7</Lines>
  <Paragraphs>1</Paragraphs>
  <TotalTime>0</TotalTime>
  <ScaleCrop>false</ScaleCrop>
  <LinksUpToDate>false</LinksUpToDate>
  <CharactersWithSpaces>990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2022-08-18T06:47:00Z</dcterms:created>
  <dc:creator>Administrator</dc:creator>
  <cp:lastModifiedBy>朱婧</cp:lastModifiedBy>
  <dcterms:modified xsi:type="dcterms:W3CDTF">2025-06-10T09:06:57Z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