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1"/>
        <w:spacing w:before="156" w:beforeLines="50" w:beforeAutospacing="0" w:after="156" w:afterLines="50" w:afterAutospacing="0"/>
        <w:jc w:val="center"/>
        <w:rPr>
          <w:rFonts w:ascii="楷体" w:hAnsi="楷体" w:eastAsia="楷体" w:cs="Times New Roman"/>
          <w:b/>
          <w:sz w:val="36"/>
          <w:szCs w:val="36"/>
        </w:rPr>
      </w:pPr>
      <w:r>
        <w:rPr>
          <w:rFonts w:hint="eastAsia" w:ascii="楷体" w:hAnsi="楷体" w:eastAsia="楷体" w:cs="Times New Roman"/>
          <w:b/>
          <w:sz w:val="36"/>
          <w:szCs w:val="36"/>
        </w:rPr>
        <w:t>关于部分理财产品新增合作机构和新增投资非标准化债权资产的公告</w:t>
      </w:r>
    </w:p>
    <w:p>
      <w:pPr>
        <w:pStyle w:val="11"/>
        <w:spacing w:before="0" w:beforeAutospacing="0" w:after="0" w:afterAutospacing="0"/>
        <w:rPr>
          <w:rFonts w:hint="eastAsia" w:ascii="楷体" w:hAnsi="楷体" w:eastAsia="楷体" w:cs="Times New Roman"/>
          <w:sz w:val="28"/>
          <w:szCs w:val="28"/>
        </w:rPr>
      </w:pPr>
      <w:r>
        <w:rPr>
          <w:rFonts w:hint="eastAsia" w:ascii="楷体" w:hAnsi="楷体" w:eastAsia="楷体" w:cs="Times New Roman"/>
          <w:sz w:val="28"/>
          <w:szCs w:val="28"/>
        </w:rPr>
        <w:t>尊敬的投资人：</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“苏银理财恒源1年定开</w:t>
      </w:r>
      <w:r>
        <w:rPr>
          <w:rFonts w:hint="eastAsia" w:ascii="楷体" w:hAnsi="楷体" w:eastAsia="楷体" w:cs="Times New Roman"/>
          <w:sz w:val="28"/>
          <w:szCs w:val="28"/>
          <w:lang w:val="en-US" w:eastAsia="zh-CN"/>
        </w:rPr>
        <w:t>1</w:t>
      </w:r>
      <w:r>
        <w:rPr>
          <w:rFonts w:hint="eastAsia" w:ascii="楷体" w:hAnsi="楷体" w:eastAsia="楷体" w:cs="Times New Roman"/>
          <w:sz w:val="28"/>
          <w:szCs w:val="28"/>
        </w:rPr>
        <w:t>期”</w:t>
      </w:r>
      <w:r>
        <w:rPr>
          <w:rFonts w:hint="eastAsia" w:ascii="楷体" w:hAnsi="楷体" w:eastAsia="楷体" w:cs="Times New Roman"/>
          <w:sz w:val="28"/>
          <w:szCs w:val="28"/>
          <w:lang w:eastAsia="zh-CN"/>
        </w:rPr>
        <w:t>、</w:t>
      </w:r>
      <w:r>
        <w:rPr>
          <w:rFonts w:hint="eastAsia" w:ascii="楷体" w:hAnsi="楷体" w:eastAsia="楷体" w:cs="Times New Roman"/>
          <w:sz w:val="28"/>
          <w:szCs w:val="28"/>
        </w:rPr>
        <w:t>“苏银理财恒源1年定开</w:t>
      </w:r>
      <w:r>
        <w:rPr>
          <w:rFonts w:hint="eastAsia" w:ascii="楷体" w:hAnsi="楷体" w:eastAsia="楷体" w:cs="Times New Roman"/>
          <w:sz w:val="28"/>
          <w:szCs w:val="28"/>
          <w:lang w:val="en-US" w:eastAsia="zh-CN"/>
        </w:rPr>
        <w:t>2014</w:t>
      </w:r>
      <w:r>
        <w:rPr>
          <w:rFonts w:hint="eastAsia" w:ascii="楷体" w:hAnsi="楷体" w:eastAsia="楷体" w:cs="Times New Roman"/>
          <w:sz w:val="28"/>
          <w:szCs w:val="28"/>
        </w:rPr>
        <w:t>期”理财产品拟新增</w:t>
      </w:r>
      <w:r>
        <w:rPr>
          <w:rFonts w:hint="eastAsia" w:ascii="楷体" w:hAnsi="楷体" w:eastAsia="楷体" w:cs="Times New Roman"/>
          <w:sz w:val="28"/>
          <w:szCs w:val="28"/>
          <w:lang w:val="en-US" w:eastAsia="zh-CN"/>
        </w:rPr>
        <w:t>江苏省国际</w:t>
      </w:r>
      <w:r>
        <w:rPr>
          <w:rFonts w:hint="default" w:ascii="楷体" w:hAnsi="楷体" w:eastAsia="楷体" w:cs="Times New Roman"/>
          <w:sz w:val="28"/>
          <w:szCs w:val="28"/>
        </w:rPr>
        <w:t>信托有限公司</w:t>
      </w:r>
      <w:r>
        <w:rPr>
          <w:rFonts w:hint="eastAsia" w:ascii="楷体" w:hAnsi="楷体" w:eastAsia="楷体" w:cs="Times New Roman"/>
          <w:sz w:val="28"/>
          <w:szCs w:val="28"/>
        </w:rPr>
        <w:t>作为理财投资合作机构，投资合作机构主要职责是对理财产品受托资金进行投资管理，苏银理财已按投资决策流程对投资合作机构进行了准入，并持续开展投资合作机构的存续期管理。</w:t>
      </w:r>
    </w:p>
    <w:p>
      <w:pPr>
        <w:pStyle w:val="11"/>
        <w:ind w:firstLine="560" w:firstLineChars="200"/>
        <w:contextualSpacing/>
        <w:rPr>
          <w:rFonts w:hint="eastAsia" w:ascii="楷体" w:hAnsi="楷体" w:eastAsia="楷体" w:cs="Times New Roman"/>
          <w:sz w:val="28"/>
          <w:szCs w:val="28"/>
          <w:lang w:eastAsia="zh-CN"/>
        </w:rPr>
      </w:pPr>
      <w:r>
        <w:rPr>
          <w:rFonts w:hint="eastAsia" w:ascii="楷体" w:hAnsi="楷体" w:eastAsia="楷体" w:cs="Times New Roman"/>
          <w:sz w:val="28"/>
          <w:szCs w:val="28"/>
        </w:rPr>
        <w:t>江苏省国际信托有限公司(简称“</w:t>
      </w:r>
      <w:r>
        <w:rPr>
          <w:rFonts w:hint="eastAsia" w:ascii="楷体" w:hAnsi="楷体" w:eastAsia="楷体" w:cs="Times New Roman"/>
          <w:sz w:val="28"/>
          <w:szCs w:val="28"/>
          <w:lang w:val="en-US" w:eastAsia="zh-CN"/>
        </w:rPr>
        <w:t>江苏</w:t>
      </w:r>
      <w:r>
        <w:rPr>
          <w:rFonts w:hint="eastAsia" w:ascii="楷体" w:hAnsi="楷体" w:eastAsia="楷体" w:cs="Times New Roman"/>
          <w:sz w:val="28"/>
          <w:szCs w:val="28"/>
        </w:rPr>
        <w:t>信托”)是经中国人民银行批准设立、中国银行保险监督管理委员会监管的非银行金融机构，成立于19</w:t>
      </w:r>
      <w:r>
        <w:rPr>
          <w:rFonts w:hint="eastAsia" w:ascii="楷体" w:hAnsi="楷体" w:eastAsia="楷体" w:cs="Times New Roman"/>
          <w:sz w:val="28"/>
          <w:szCs w:val="28"/>
          <w:lang w:val="en-US" w:eastAsia="zh-CN"/>
        </w:rPr>
        <w:t>92</w:t>
      </w:r>
      <w:r>
        <w:rPr>
          <w:rFonts w:hint="eastAsia" w:ascii="楷体" w:hAnsi="楷体" w:eastAsia="楷体" w:cs="Times New Roman"/>
          <w:sz w:val="28"/>
          <w:szCs w:val="28"/>
        </w:rPr>
        <w:t>年0</w:t>
      </w:r>
      <w:r>
        <w:rPr>
          <w:rFonts w:hint="eastAsia" w:ascii="楷体" w:hAnsi="楷体" w:eastAsia="楷体" w:cs="Times New Roman"/>
          <w:sz w:val="28"/>
          <w:szCs w:val="28"/>
          <w:lang w:val="en-US" w:eastAsia="zh-CN"/>
        </w:rPr>
        <w:t>6</w:t>
      </w:r>
      <w:r>
        <w:rPr>
          <w:rFonts w:hint="eastAsia" w:ascii="楷体" w:hAnsi="楷体" w:eastAsia="楷体" w:cs="Times New Roman"/>
          <w:sz w:val="28"/>
          <w:szCs w:val="28"/>
        </w:rPr>
        <w:t>月</w:t>
      </w:r>
      <w:r>
        <w:rPr>
          <w:rFonts w:hint="eastAsia" w:ascii="楷体" w:hAnsi="楷体" w:eastAsia="楷体" w:cs="Times New Roman"/>
          <w:sz w:val="28"/>
          <w:szCs w:val="28"/>
          <w:lang w:val="en-US" w:eastAsia="zh-CN"/>
        </w:rPr>
        <w:t>05</w:t>
      </w:r>
      <w:r>
        <w:rPr>
          <w:rFonts w:hint="eastAsia" w:ascii="楷体" w:hAnsi="楷体" w:eastAsia="楷体" w:cs="Times New Roman"/>
          <w:sz w:val="28"/>
          <w:szCs w:val="28"/>
        </w:rPr>
        <w:t>日，注册资本金</w:t>
      </w:r>
      <w:r>
        <w:rPr>
          <w:rFonts w:hint="eastAsia" w:ascii="楷体" w:hAnsi="楷体" w:eastAsia="楷体" w:cs="Times New Roman"/>
          <w:sz w:val="28"/>
          <w:szCs w:val="28"/>
          <w:lang w:val="en-US" w:eastAsia="zh-CN"/>
        </w:rPr>
        <w:t>87.603</w:t>
      </w:r>
      <w:r>
        <w:rPr>
          <w:rFonts w:hint="eastAsia" w:ascii="楷体" w:hAnsi="楷体" w:eastAsia="楷体" w:cs="Times New Roman"/>
          <w:sz w:val="28"/>
          <w:szCs w:val="28"/>
        </w:rPr>
        <w:t>亿元人民币。</w:t>
      </w:r>
      <w:r>
        <w:rPr>
          <w:rFonts w:hint="eastAsia" w:ascii="楷体" w:hAnsi="楷体" w:eastAsia="楷体" w:cs="Times New Roman"/>
          <w:sz w:val="28"/>
          <w:szCs w:val="28"/>
          <w:lang w:val="en-US" w:eastAsia="zh-CN"/>
        </w:rPr>
        <w:t>江苏</w:t>
      </w:r>
      <w:r>
        <w:rPr>
          <w:rFonts w:hint="eastAsia" w:ascii="楷体" w:hAnsi="楷体" w:eastAsia="楷体" w:cs="Times New Roman"/>
          <w:sz w:val="28"/>
          <w:szCs w:val="28"/>
        </w:rPr>
        <w:t>信托现有股东四家，分别为：</w:t>
      </w:r>
      <w:r>
        <w:rPr>
          <w:rFonts w:hint="eastAsia" w:ascii="楷体" w:hAnsi="楷体" w:eastAsia="楷体" w:cs="Times New Roman"/>
          <w:sz w:val="28"/>
          <w:szCs w:val="28"/>
          <w:lang w:val="en-US" w:eastAsia="zh-CN"/>
        </w:rPr>
        <w:t>江苏国信股份有限公司</w:t>
      </w:r>
      <w:r>
        <w:rPr>
          <w:rFonts w:hint="eastAsia" w:ascii="楷体" w:hAnsi="楷体" w:eastAsia="楷体" w:cs="Times New Roman"/>
          <w:sz w:val="28"/>
          <w:szCs w:val="28"/>
        </w:rPr>
        <w:t>，出资比例</w:t>
      </w:r>
      <w:r>
        <w:rPr>
          <w:rFonts w:hint="eastAsia" w:ascii="楷体" w:hAnsi="楷体" w:eastAsia="楷体" w:cs="Times New Roman"/>
          <w:sz w:val="28"/>
          <w:szCs w:val="28"/>
          <w:lang w:val="en-US" w:eastAsia="zh-CN"/>
        </w:rPr>
        <w:t>8</w:t>
      </w:r>
      <w:r>
        <w:rPr>
          <w:rFonts w:hint="eastAsia" w:ascii="楷体" w:hAnsi="楷体" w:eastAsia="楷体" w:cs="Times New Roman"/>
          <w:sz w:val="28"/>
          <w:szCs w:val="28"/>
        </w:rPr>
        <w:t>1.</w:t>
      </w:r>
      <w:r>
        <w:rPr>
          <w:rFonts w:hint="eastAsia" w:ascii="楷体" w:hAnsi="楷体" w:eastAsia="楷体" w:cs="Times New Roman"/>
          <w:sz w:val="28"/>
          <w:szCs w:val="28"/>
          <w:lang w:val="en-US" w:eastAsia="zh-CN"/>
        </w:rPr>
        <w:t>4</w:t>
      </w:r>
      <w:r>
        <w:rPr>
          <w:rFonts w:hint="eastAsia" w:ascii="楷体" w:hAnsi="楷体" w:eastAsia="楷体" w:cs="Times New Roman"/>
          <w:sz w:val="28"/>
          <w:szCs w:val="28"/>
        </w:rPr>
        <w:t>9%；</w:t>
      </w:r>
      <w:r>
        <w:rPr>
          <w:rFonts w:hint="eastAsia" w:ascii="楷体" w:hAnsi="楷体" w:eastAsia="楷体" w:cs="Times New Roman"/>
          <w:sz w:val="28"/>
          <w:szCs w:val="28"/>
          <w:lang w:val="en-US" w:eastAsia="zh-CN"/>
        </w:rPr>
        <w:t>江苏省苏豪控股</w:t>
      </w:r>
      <w:r>
        <w:rPr>
          <w:rFonts w:hint="eastAsia" w:ascii="楷体" w:hAnsi="楷体" w:eastAsia="楷体" w:cs="Times New Roman"/>
          <w:sz w:val="28"/>
          <w:szCs w:val="28"/>
        </w:rPr>
        <w:t>集团有限公司，出资比例</w:t>
      </w:r>
      <w:r>
        <w:rPr>
          <w:rFonts w:hint="eastAsia" w:ascii="楷体" w:hAnsi="楷体" w:eastAsia="楷体" w:cs="Times New Roman"/>
          <w:sz w:val="28"/>
          <w:szCs w:val="28"/>
          <w:lang w:val="en-US" w:eastAsia="zh-CN"/>
        </w:rPr>
        <w:t>10</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91</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江苏省农垦集团</w:t>
      </w:r>
      <w:r>
        <w:rPr>
          <w:rFonts w:hint="eastAsia" w:ascii="楷体" w:hAnsi="楷体" w:eastAsia="楷体" w:cs="Times New Roman"/>
          <w:sz w:val="28"/>
          <w:szCs w:val="28"/>
        </w:rPr>
        <w:t>有限公司，出资比例</w:t>
      </w:r>
      <w:r>
        <w:rPr>
          <w:rFonts w:hint="eastAsia" w:ascii="楷体" w:hAnsi="楷体" w:eastAsia="楷体" w:cs="Times New Roman"/>
          <w:sz w:val="28"/>
          <w:szCs w:val="28"/>
          <w:lang w:val="en-US" w:eastAsia="zh-CN"/>
        </w:rPr>
        <w:t>4.30</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江苏高科技投资集团</w:t>
      </w:r>
      <w:r>
        <w:rPr>
          <w:rFonts w:hint="eastAsia" w:ascii="楷体" w:hAnsi="楷体" w:eastAsia="楷体" w:cs="Times New Roman"/>
          <w:sz w:val="28"/>
          <w:szCs w:val="28"/>
        </w:rPr>
        <w:t>有限公司，出资比例</w:t>
      </w:r>
      <w:r>
        <w:rPr>
          <w:rFonts w:hint="eastAsia" w:ascii="楷体" w:hAnsi="楷体" w:eastAsia="楷体" w:cs="Times New Roman"/>
          <w:sz w:val="28"/>
          <w:szCs w:val="28"/>
          <w:lang w:val="en-US" w:eastAsia="zh-CN"/>
        </w:rPr>
        <w:t>3.30</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江苏</w:t>
      </w:r>
      <w:r>
        <w:rPr>
          <w:rFonts w:hint="eastAsia" w:ascii="楷体" w:hAnsi="楷体" w:eastAsia="楷体" w:cs="Times New Roman"/>
          <w:sz w:val="28"/>
          <w:szCs w:val="28"/>
        </w:rPr>
        <w:t>信托经营范围包括：资金信托；动产信托；不动产信托；有价证券信托；其他财产或财产权信托；作为投资基金或者基金管理公司的发起人从事投资基金业务；经营企业资产的重组、购并及项目融资、公司理财、财务顾问等业务；受托经营国务院有关部门批准的证券承销业务；办理居间、咨询、资信调查等业务；代保管及保管箱业务；以存放同业、拆放同业、贷款、租赁、投资方式运用固有财产；以固有财产为他人提供担保；从事同业拆借；法律法规规定或中国银行业监督管理委员会批准的其他业务。（依法须经批准的项目，经相关部门批准后方可开展经营活动）</w:t>
      </w:r>
      <w:r>
        <w:rPr>
          <w:rFonts w:hint="eastAsia" w:ascii="楷体" w:hAnsi="楷体" w:eastAsia="楷体" w:cs="Times New Roman"/>
          <w:sz w:val="28"/>
          <w:szCs w:val="28"/>
          <w:lang w:eastAsia="zh-CN"/>
        </w:rPr>
        <w:t>。</w:t>
      </w:r>
    </w:p>
    <w:p>
      <w:pPr>
        <w:pStyle w:val="11"/>
        <w:ind w:firstLine="560" w:firstLineChars="200"/>
        <w:contextualSpacing/>
        <w:rPr>
          <w:rFonts w:hint="eastAsia" w:ascii="楷体" w:hAnsi="楷体" w:eastAsia="楷体" w:cs="Times New Roman"/>
          <w:sz w:val="28"/>
          <w:szCs w:val="28"/>
        </w:rPr>
      </w:pPr>
      <w:r>
        <w:rPr>
          <w:rFonts w:hint="eastAsia" w:ascii="楷体" w:hAnsi="楷体" w:eastAsia="楷体" w:cs="Times New Roman"/>
          <w:sz w:val="28"/>
          <w:szCs w:val="28"/>
        </w:rPr>
        <w:t>“苏银理财恒源1年定开</w:t>
      </w:r>
      <w:r>
        <w:rPr>
          <w:rFonts w:hint="eastAsia" w:ascii="楷体" w:hAnsi="楷体" w:eastAsia="楷体" w:cs="Times New Roman"/>
          <w:sz w:val="28"/>
          <w:szCs w:val="28"/>
          <w:lang w:val="en-US" w:eastAsia="zh-CN"/>
        </w:rPr>
        <w:t>1</w:t>
      </w:r>
      <w:r>
        <w:rPr>
          <w:rFonts w:hint="eastAsia" w:ascii="楷体" w:hAnsi="楷体" w:eastAsia="楷体" w:cs="Times New Roman"/>
          <w:sz w:val="28"/>
          <w:szCs w:val="28"/>
        </w:rPr>
        <w:t>期”</w:t>
      </w:r>
      <w:r>
        <w:rPr>
          <w:rFonts w:hint="eastAsia" w:ascii="楷体" w:hAnsi="楷体" w:eastAsia="楷体" w:cs="Times New Roman"/>
          <w:sz w:val="28"/>
          <w:szCs w:val="28"/>
          <w:lang w:eastAsia="zh-CN"/>
        </w:rPr>
        <w:t>、</w:t>
      </w:r>
      <w:r>
        <w:rPr>
          <w:rFonts w:hint="eastAsia" w:ascii="楷体" w:hAnsi="楷体" w:eastAsia="楷体" w:cs="Times New Roman"/>
          <w:sz w:val="28"/>
          <w:szCs w:val="28"/>
        </w:rPr>
        <w:t>“苏银理财恒源1年定开</w:t>
      </w:r>
      <w:r>
        <w:rPr>
          <w:rFonts w:hint="eastAsia" w:ascii="楷体" w:hAnsi="楷体" w:eastAsia="楷体" w:cs="Times New Roman"/>
          <w:sz w:val="28"/>
          <w:szCs w:val="28"/>
          <w:lang w:val="en-US" w:eastAsia="zh-CN"/>
        </w:rPr>
        <w:t>2014</w:t>
      </w:r>
      <w:r>
        <w:rPr>
          <w:rFonts w:hint="eastAsia" w:ascii="楷体" w:hAnsi="楷体" w:eastAsia="楷体" w:cs="Times New Roman"/>
          <w:sz w:val="28"/>
          <w:szCs w:val="28"/>
        </w:rPr>
        <w:t>期”理财产品于202</w:t>
      </w:r>
      <w:r>
        <w:rPr>
          <w:rFonts w:hint="eastAsia" w:ascii="楷体" w:hAnsi="楷体" w:eastAsia="楷体" w:cs="Times New Roman"/>
          <w:sz w:val="28"/>
          <w:szCs w:val="28"/>
          <w:lang w:val="en-US" w:eastAsia="zh-CN"/>
        </w:rPr>
        <w:t>5</w:t>
      </w:r>
      <w:r>
        <w:rPr>
          <w:rFonts w:hint="eastAsia" w:ascii="楷体" w:hAnsi="楷体" w:eastAsia="楷体" w:cs="Times New Roman"/>
          <w:sz w:val="28"/>
          <w:szCs w:val="28"/>
        </w:rPr>
        <w:t>年</w:t>
      </w:r>
      <w:r>
        <w:rPr>
          <w:rFonts w:hint="eastAsia" w:ascii="楷体" w:hAnsi="楷体" w:eastAsia="楷体" w:cs="Times New Roman"/>
          <w:sz w:val="28"/>
          <w:szCs w:val="28"/>
          <w:lang w:val="en-US" w:eastAsia="zh-CN"/>
        </w:rPr>
        <w:t>3</w:t>
      </w:r>
      <w:r>
        <w:rPr>
          <w:rFonts w:hint="eastAsia" w:ascii="楷体" w:hAnsi="楷体" w:eastAsia="楷体" w:cs="Times New Roman"/>
          <w:sz w:val="28"/>
          <w:szCs w:val="28"/>
        </w:rPr>
        <w:t>月</w:t>
      </w:r>
      <w:r>
        <w:rPr>
          <w:rFonts w:hint="eastAsia" w:ascii="楷体" w:hAnsi="楷体" w:eastAsia="楷体" w:cs="Times New Roman"/>
          <w:sz w:val="28"/>
          <w:szCs w:val="28"/>
          <w:highlight w:val="none"/>
          <w:lang w:val="en-US" w:eastAsia="zh-CN"/>
        </w:rPr>
        <w:t>20</w:t>
      </w:r>
      <w:r>
        <w:rPr>
          <w:rFonts w:hint="eastAsia" w:ascii="楷体" w:hAnsi="楷体" w:eastAsia="楷体" w:cs="Times New Roman"/>
          <w:sz w:val="28"/>
          <w:szCs w:val="28"/>
        </w:rPr>
        <w:t>日投资于非标准化债权类资产，根据产品说明书约定，现将非标准化债权资产信息披露如下：</w:t>
      </w:r>
    </w:p>
    <w:p>
      <w:pPr>
        <w:pStyle w:val="11"/>
        <w:numPr>
          <w:ilvl w:val="0"/>
          <w:numId w:val="1"/>
        </w:numPr>
        <w:ind w:firstLine="560" w:firstLineChars="200"/>
        <w:contextualSpacing/>
        <w:rPr>
          <w:rFonts w:hint="eastAsia" w:ascii="楷体" w:hAnsi="楷体" w:eastAsia="楷体" w:cs="Times New Roman"/>
          <w:sz w:val="28"/>
          <w:szCs w:val="28"/>
          <w:lang w:eastAsia="zh-CN"/>
        </w:rPr>
      </w:pPr>
      <w:r>
        <w:rPr>
          <w:rFonts w:hint="eastAsia" w:ascii="楷体" w:hAnsi="楷体" w:eastAsia="楷体" w:cs="Times New Roman"/>
          <w:sz w:val="28"/>
          <w:szCs w:val="28"/>
        </w:rPr>
        <w:t>非标准化债权类资产：融资人为南京江宁（大学）科教创新园有限公司，资产到期日不超过开放式理财产品投资周期终止日。融资人是依法设立的国有控股公司，</w:t>
      </w:r>
      <w:r>
        <w:rPr>
          <w:rFonts w:hint="eastAsia" w:ascii="楷体" w:hAnsi="楷体" w:eastAsia="楷体" w:cs="Times New Roman"/>
          <w:sz w:val="28"/>
          <w:szCs w:val="28"/>
          <w:lang w:val="en-US" w:eastAsia="zh-CN"/>
        </w:rPr>
        <w:t>第一大</w:t>
      </w:r>
      <w:r>
        <w:rPr>
          <w:rFonts w:hint="eastAsia" w:ascii="楷体" w:hAnsi="楷体" w:eastAsia="楷体" w:cs="Times New Roman"/>
          <w:sz w:val="28"/>
          <w:szCs w:val="28"/>
        </w:rPr>
        <w:t xml:space="preserve">股东为南京江宁科学园发展有限公司，持股比例 </w:t>
      </w:r>
      <w:r>
        <w:rPr>
          <w:rFonts w:hint="eastAsia" w:ascii="楷体" w:hAnsi="楷体" w:eastAsia="楷体" w:cs="Times New Roman"/>
          <w:sz w:val="28"/>
          <w:szCs w:val="28"/>
          <w:lang w:val="en-US" w:eastAsia="zh-CN"/>
        </w:rPr>
        <w:t>55.64</w:t>
      </w:r>
      <w:r>
        <w:rPr>
          <w:rFonts w:hint="eastAsia" w:ascii="楷体" w:hAnsi="楷体" w:eastAsia="楷体" w:cs="Times New Roman"/>
          <w:sz w:val="28"/>
          <w:szCs w:val="28"/>
        </w:rPr>
        <w:t>%，</w:t>
      </w:r>
      <w:r>
        <w:rPr>
          <w:rFonts w:hint="eastAsia" w:ascii="楷体" w:hAnsi="楷体" w:eastAsia="楷体" w:cs="Times New Roman"/>
          <w:sz w:val="28"/>
          <w:szCs w:val="28"/>
          <w:lang w:val="en-US" w:eastAsia="zh-CN"/>
        </w:rPr>
        <w:t>第二大股东为建信金融资产投资有限公司，持股比例15.51%，</w:t>
      </w:r>
      <w:r>
        <w:rPr>
          <w:rFonts w:hint="eastAsia" w:ascii="楷体" w:hAnsi="楷体" w:eastAsia="楷体" w:cs="Times New Roman"/>
          <w:sz w:val="28"/>
          <w:szCs w:val="28"/>
        </w:rPr>
        <w:t>实际控制人为南京市江宁区人民政府。融资人主要承担南京江宁（大学）科教创新园范围内的科技载体租赁业务。经营范围包括：基础设施建设；经济项目开发；综合技术开发；生态旅游开发；信息技术开发服务；商务服务及相关咨询服务；会展服务；科教产业投资；服务产业投资；市政公用基础设施投资；物业管理；自有房屋租赁；园林绿化建设；机械设备及配套的研发、设计、生产、销售；生物医药、保健食品、化妆品、生化试剂、生命科学软件的技术研究、开发、转让、咨询；仪器仪表的租赁、维护；自营和代理各类商品和技术的进出口业务（国家限定公司经营或禁止进出口的商品和技术除外）；建筑工程施工。（依法须经批准的项目，经相关部门批准后方可开展经营活动）</w:t>
      </w:r>
      <w:r>
        <w:rPr>
          <w:rFonts w:hint="eastAsia" w:ascii="楷体" w:hAnsi="楷体" w:eastAsia="楷体" w:cs="Times New Roman"/>
          <w:sz w:val="28"/>
          <w:szCs w:val="28"/>
          <w:lang w:eastAsia="zh-CN"/>
        </w:rPr>
        <w:t>。</w:t>
      </w:r>
    </w:p>
    <w:p>
      <w:pPr>
        <w:pStyle w:val="11"/>
        <w:numPr>
          <w:ilvl w:val="0"/>
          <w:numId w:val="1"/>
        </w:numPr>
        <w:ind w:firstLine="560" w:firstLineChars="200"/>
        <w:contextualSpacing/>
        <w:rPr>
          <w:rFonts w:hint="eastAsia" w:ascii="楷体" w:hAnsi="楷体" w:eastAsia="楷体" w:cs="Times New Roman"/>
          <w:sz w:val="28"/>
          <w:szCs w:val="28"/>
          <w:lang w:eastAsia="zh-CN"/>
        </w:rPr>
      </w:pPr>
      <w:r>
        <w:rPr>
          <w:rFonts w:hint="eastAsia" w:ascii="楷体" w:hAnsi="楷体" w:eastAsia="楷体" w:cs="Times New Roman"/>
          <w:sz w:val="28"/>
          <w:szCs w:val="28"/>
        </w:rPr>
        <w:t>非标准化债权类资产：融资人为射阳建设投资集团有限公司，资产到期日不超过开放式理财产品投资周期终止日。融资人是依法设立的国有公司，</w:t>
      </w:r>
      <w:r>
        <w:rPr>
          <w:rFonts w:hint="eastAsia" w:ascii="楷体" w:hAnsi="楷体" w:eastAsia="楷体" w:cs="Times New Roman"/>
          <w:sz w:val="28"/>
          <w:szCs w:val="28"/>
          <w:lang w:val="en-US" w:eastAsia="zh-CN"/>
        </w:rPr>
        <w:t>射阳县人民政府</w:t>
      </w:r>
      <w:r>
        <w:rPr>
          <w:rFonts w:hint="eastAsia" w:ascii="楷体" w:hAnsi="楷体" w:eastAsia="楷体" w:cs="Times New Roman"/>
          <w:sz w:val="28"/>
          <w:szCs w:val="28"/>
        </w:rPr>
        <w:t>持股比例为100%，实际控制人为射阳县人民政府。融资人是射阳县基础设施建设项目的主要建设主体，经营范围包括：政府授权委托的公益性投资;实业投资;投资项目管理;投资咨询(国家有专项规定的除外);城市基础设施、市政工程、道路工程、园林绿化工程、污水管网工程、棚户区改造工程、城市综合管廊工程和水电气工程施工(承装电力设施除外);保障性住房(经济适用房、公租廉租房、安置房、限价商品房)开发经营;其他房地产开发经营;为房屋征收提供服务(国家有专项规定的和法律法规禁止的活动除外);城镇化项目开发建设;餐饮服务(按许可证经营);住宿服务(按许可证经营)。(依法须经批准的项目,经相关部门批准后方可开展经营活动) 一般项目:物业管理;建筑材料销售;煤炭及制品销售;初级农产品收购;食用农产品批发;食用农产品零售;水产品收购;水产品批发;水产品零售;林业产品销售;森林经营和管护;木材收购;木材销售(除依法须经批准的项目外,凭营业执照依法自主开展经营活动)</w:t>
      </w:r>
    </w:p>
    <w:p>
      <w:pPr>
        <w:pStyle w:val="11"/>
        <w:numPr>
          <w:ilvl w:val="0"/>
          <w:numId w:val="1"/>
        </w:numPr>
        <w:ind w:firstLine="560" w:firstLineChars="200"/>
        <w:contextualSpacing/>
        <w:rPr>
          <w:rFonts w:hint="eastAsia" w:ascii="楷体" w:hAnsi="楷体" w:eastAsia="楷体" w:cs="Times New Roman"/>
          <w:sz w:val="28"/>
          <w:szCs w:val="28"/>
          <w:lang w:eastAsia="zh-CN"/>
        </w:rPr>
      </w:pPr>
      <w:r>
        <w:rPr>
          <w:rFonts w:hint="eastAsia" w:ascii="楷体" w:hAnsi="楷体" w:eastAsia="楷体" w:cs="Times New Roman"/>
          <w:sz w:val="28"/>
          <w:szCs w:val="28"/>
        </w:rPr>
        <w:t>非标准化债权类资产：融资人为</w:t>
      </w:r>
      <w:r>
        <w:rPr>
          <w:rFonts w:hint="eastAsia" w:ascii="楷体" w:hAnsi="楷体" w:eastAsia="楷体" w:cs="Times New Roman"/>
          <w:sz w:val="28"/>
          <w:szCs w:val="28"/>
          <w:lang w:val="en-US" w:eastAsia="zh-CN"/>
        </w:rPr>
        <w:t>盐城市大丰区谐城实业发展有限公司</w:t>
      </w:r>
      <w:r>
        <w:rPr>
          <w:rFonts w:hint="eastAsia" w:ascii="楷体" w:hAnsi="楷体" w:eastAsia="楷体" w:cs="Times New Roman"/>
          <w:sz w:val="28"/>
          <w:szCs w:val="28"/>
        </w:rPr>
        <w:t>，资产到期日不超过开放式理财产品投资周期终止日。融资人是依法设立的国有公司，</w:t>
      </w:r>
      <w:r>
        <w:rPr>
          <w:rFonts w:hint="eastAsia" w:ascii="楷体" w:hAnsi="楷体" w:eastAsia="楷体" w:cs="Times New Roman"/>
          <w:sz w:val="28"/>
          <w:szCs w:val="28"/>
          <w:lang w:val="en-US" w:eastAsia="zh-CN"/>
        </w:rPr>
        <w:t>盐城市大丰区城市建设集团有限公司</w:t>
      </w:r>
      <w:r>
        <w:rPr>
          <w:rFonts w:hint="eastAsia" w:ascii="楷体" w:hAnsi="楷体" w:eastAsia="楷体" w:cs="Times New Roman"/>
          <w:sz w:val="28"/>
          <w:szCs w:val="28"/>
        </w:rPr>
        <w:t>持股比例为100%，实际控制人为</w:t>
      </w:r>
      <w:r>
        <w:rPr>
          <w:rFonts w:hint="eastAsia" w:ascii="楷体" w:hAnsi="楷体" w:eastAsia="楷体" w:cs="Times New Roman"/>
          <w:sz w:val="28"/>
          <w:szCs w:val="28"/>
          <w:lang w:val="en-US" w:eastAsia="zh-CN"/>
        </w:rPr>
        <w:t>盐城市大丰区</w:t>
      </w:r>
      <w:r>
        <w:rPr>
          <w:rFonts w:hint="eastAsia" w:ascii="楷体" w:hAnsi="楷体" w:eastAsia="楷体" w:cs="Times New Roman"/>
          <w:sz w:val="28"/>
          <w:szCs w:val="28"/>
        </w:rPr>
        <w:t>人民政府。融资人经营范围包括：基础设施建设;管道工程建设;房屋拆除;土地整理;建筑材料销售;市政工程施工;建筑装饰设计;家具制造;货物运输代理;蔬菜、瓜果、花卉、树木种植;水产养殖;太阳能发电项目开发、建设;太阳能光伏发电、售电;风力发电项目开发、建设;风力发电、售电。(依法须经批准的项目,经相关部门批准后方可开展经营活动)许可项目:货物进出口;技术进出口;进出口代理(依法须经批准的项目,经相关部门批准后方可开展经营活动,具体经营项目以审批结果为准)一般项目:煤炭及制品销售;非金属矿及制品销售;金属材料销售;金属矿石销售;金属制品销售;日用木制品销售;软木制品销售;化工产品销售(不含许可类化工产品);机械设备销售;机械零件、零部件销售;电子产品销售;农副产品销售;畜牧渔业饲料销售;水泥制品销售;汽车新车销售;汽车零配件批发;特种设备销售;第一类医疗器械销售;石油制品销售(不含危险化学品);电池销售;电线、电缆经营;新鲜蔬菜批发;新鲜蔬菜零售;谷物种植;谷物销售;草种植(除依法须经批准的项目外,凭营业执照依法自主开展经营活动)</w:t>
      </w:r>
    </w:p>
    <w:p>
      <w:pPr>
        <w:pStyle w:val="11"/>
        <w:spacing w:before="0" w:beforeAutospacing="0" w:after="0" w:afterAutospacing="0"/>
        <w:ind w:firstLine="560" w:firstLineChars="200"/>
        <w:jc w:val="both"/>
        <w:rPr>
          <w:rFonts w:hint="eastAsia" w:ascii="楷体" w:hAnsi="楷体" w:eastAsia="楷体" w:cs="Times New Roman"/>
          <w:sz w:val="28"/>
          <w:szCs w:val="28"/>
        </w:rPr>
      </w:pPr>
      <w:r>
        <w:rPr>
          <w:rFonts w:hint="eastAsia" w:ascii="楷体" w:hAnsi="楷体" w:eastAsia="楷体" w:cs="Times New Roman"/>
          <w:sz w:val="28"/>
          <w:szCs w:val="28"/>
        </w:rPr>
        <w:t>产品存续期内若本理财产品投资的非标准化债权资产有所调整，管理人将选择优质企业作为融资人，且融资项目已履行管理人内部审批流程，融资人业务经营正常，融资项目还款来源明确，并在本理财产品的定期报告中披露。</w:t>
      </w:r>
    </w:p>
    <w:p>
      <w:pPr>
        <w:pStyle w:val="11"/>
        <w:spacing w:before="0" w:beforeAutospacing="0" w:after="0" w:afterAutospacing="0"/>
        <w:ind w:firstLine="560" w:firstLineChars="200"/>
        <w:contextualSpacing/>
        <w:jc w:val="both"/>
        <w:rPr>
          <w:rFonts w:hint="eastAsia" w:ascii="楷体" w:hAnsi="楷体" w:eastAsia="楷体" w:cs="Times New Roman"/>
          <w:sz w:val="28"/>
          <w:szCs w:val="28"/>
        </w:rPr>
      </w:pPr>
      <w:r>
        <w:rPr>
          <w:rFonts w:hint="eastAsia" w:ascii="楷体" w:hAnsi="楷体" w:eastAsia="楷体" w:cs="Times New Roman"/>
          <w:sz w:val="28"/>
          <w:szCs w:val="28"/>
        </w:rPr>
        <w:t>苏银理财有限责任公司将本着“受人之托、代人理财”的服务宗旨，切实履行产品管理人职责，感谢您一直以来对苏银理财的支持！</w:t>
      </w:r>
    </w:p>
    <w:p>
      <w:pPr>
        <w:pStyle w:val="11"/>
        <w:spacing w:before="0" w:beforeAutospacing="0" w:after="0" w:afterAutospacing="0"/>
        <w:ind w:firstLine="560" w:firstLineChars="200"/>
        <w:contextualSpacing/>
        <w:jc w:val="both"/>
        <w:rPr>
          <w:rFonts w:ascii="楷体" w:hAnsi="楷体" w:eastAsia="楷体" w:cs="Times New Roman"/>
          <w:sz w:val="28"/>
          <w:szCs w:val="28"/>
        </w:rPr>
      </w:pPr>
      <w:r>
        <w:rPr>
          <w:rFonts w:hint="eastAsia" w:ascii="楷体" w:hAnsi="楷体" w:eastAsia="楷体" w:cs="Times New Roman"/>
          <w:sz w:val="28"/>
          <w:szCs w:val="28"/>
        </w:rPr>
        <w:t>特此公告。</w:t>
      </w:r>
    </w:p>
    <w:p>
      <w:pPr>
        <w:spacing w:line="560" w:lineRule="exact"/>
        <w:rPr>
          <w:rFonts w:hint="eastAsia" w:ascii="楷体" w:hAnsi="楷体" w:eastAsia="楷体"/>
          <w:kern w:val="0"/>
          <w:sz w:val="28"/>
          <w:szCs w:val="28"/>
        </w:rPr>
      </w:pPr>
    </w:p>
    <w:p>
      <w:pPr>
        <w:spacing w:line="560" w:lineRule="exact"/>
        <w:jc w:val="right"/>
        <w:rPr>
          <w:rFonts w:hint="eastAsia" w:ascii="楷体" w:hAnsi="楷体" w:eastAsia="楷体"/>
          <w:kern w:val="0"/>
          <w:sz w:val="28"/>
          <w:szCs w:val="28"/>
        </w:rPr>
      </w:pPr>
      <w:r>
        <w:rPr>
          <w:rFonts w:hint="eastAsia" w:ascii="楷体" w:hAnsi="楷体" w:eastAsia="楷体"/>
          <w:kern w:val="0"/>
          <w:sz w:val="28"/>
          <w:szCs w:val="28"/>
        </w:rPr>
        <w:t>苏银理财有限责任公司</w:t>
      </w:r>
    </w:p>
    <w:p>
      <w:pPr>
        <w:spacing w:line="560" w:lineRule="exact"/>
        <w:ind w:firstLine="4760" w:firstLineChars="1700"/>
        <w:jc w:val="right"/>
        <w:rPr>
          <w:rFonts w:hint="eastAsia" w:ascii="楷体" w:hAnsi="楷体" w:eastAsia="楷体"/>
          <w:kern w:val="0"/>
          <w:sz w:val="28"/>
          <w:szCs w:val="28"/>
        </w:rPr>
      </w:pPr>
      <w:r>
        <w:rPr>
          <w:rFonts w:hint="eastAsia" w:ascii="楷体" w:hAnsi="楷体" w:eastAsia="楷体"/>
          <w:kern w:val="0"/>
          <w:sz w:val="28"/>
          <w:szCs w:val="28"/>
        </w:rPr>
        <w:t>202</w:t>
      </w:r>
      <w:r>
        <w:rPr>
          <w:rFonts w:hint="eastAsia" w:ascii="楷体" w:hAnsi="楷体" w:eastAsia="楷体"/>
          <w:kern w:val="0"/>
          <w:sz w:val="28"/>
          <w:szCs w:val="28"/>
          <w:lang w:val="en-US" w:eastAsia="zh-CN"/>
        </w:rPr>
        <w:t>5</w:t>
      </w:r>
      <w:r>
        <w:rPr>
          <w:rFonts w:hint="eastAsia" w:ascii="楷体" w:hAnsi="楷体" w:eastAsia="楷体"/>
          <w:kern w:val="0"/>
          <w:sz w:val="28"/>
          <w:szCs w:val="28"/>
        </w:rPr>
        <w:t>年</w:t>
      </w:r>
      <w:r>
        <w:rPr>
          <w:rFonts w:hint="eastAsia" w:ascii="楷体" w:hAnsi="楷体" w:eastAsia="楷体"/>
          <w:kern w:val="0"/>
          <w:sz w:val="28"/>
          <w:szCs w:val="28"/>
          <w:lang w:val="en-US" w:eastAsia="zh-CN"/>
        </w:rPr>
        <w:t>3</w:t>
      </w:r>
      <w:r>
        <w:rPr>
          <w:rFonts w:hint="eastAsia" w:ascii="楷体" w:hAnsi="楷体" w:eastAsia="楷体"/>
          <w:kern w:val="0"/>
          <w:sz w:val="28"/>
          <w:szCs w:val="28"/>
        </w:rPr>
        <w:t>月</w:t>
      </w:r>
      <w:r>
        <w:rPr>
          <w:rFonts w:hint="eastAsia" w:ascii="楷体" w:hAnsi="楷体" w:eastAsia="楷体"/>
          <w:kern w:val="0"/>
          <w:sz w:val="28"/>
          <w:szCs w:val="28"/>
          <w:lang w:val="en-US" w:eastAsia="zh-CN"/>
        </w:rPr>
        <w:t>20</w:t>
      </w:r>
      <w:r>
        <w:rPr>
          <w:rFonts w:hint="eastAsia" w:ascii="楷体" w:hAnsi="楷体" w:eastAsia="楷体"/>
          <w:kern w:val="0"/>
          <w:sz w:val="28"/>
          <w:szCs w:val="28"/>
        </w:rPr>
        <w:t>日</w:t>
      </w:r>
    </w:p>
    <w:p>
      <w:pPr>
        <w:rPr>
          <w:rFonts w:hint="eastAsia" w:ascii="楷体" w:hAnsi="楷体" w:eastAsia="楷体"/>
          <w:kern w:val="0"/>
          <w:sz w:val="24"/>
          <w:szCs w:val="24"/>
        </w:rPr>
      </w:pPr>
    </w:p>
    <w:p>
      <w:pPr>
        <w:rPr>
          <w:rFonts w:hint="eastAsia"/>
        </w:rPr>
      </w:pPr>
    </w:p>
    <w:p>
      <w:pPr>
        <w:rPr>
          <w:rFonts w:hint="eastAsia"/>
        </w:rPr>
      </w:pPr>
    </w:p>
    <w:p>
      <w:pPr>
        <w:rPr>
          <w:rFonts w:hint="eastAsia" w:ascii="楷体" w:hAnsi="楷体" w:eastAsia="楷体" w:cs="楷体"/>
        </w:rPr>
      </w:pPr>
      <w:r>
        <w:rPr>
          <w:rFonts w:hint="eastAsia" w:ascii="楷体" w:hAnsi="楷体" w:eastAsia="楷体" w:cs="楷体"/>
        </w:rPr>
        <w:t>备注：本次披露内容解释权归苏银理财所有，不构成任何形式的法律要约或承诺。</w:t>
      </w:r>
      <w:bookmarkStart w:id="0" w:name="_GoBack"/>
      <w:bookmarkEnd w:id="0"/>
    </w:p>
    <w:sectPr>
      <w:headerReference r:id="rId5" w:type="first"/>
      <w:headerReference r:id="rId3" w:type="default"/>
      <w:footerReference r:id="rId6" w:type="default"/>
      <w:headerReference r:id="rId4" w:type="even"/>
      <w:pgSz w:w="11906" w:h="16838"/>
      <w:pgMar w:top="1440" w:right="1800" w:bottom="1440"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rPr>
      <w:t>3</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rPr>
      <w:t>3</w:t>
    </w:r>
    <w:r>
      <w:rPr>
        <w:b/>
        <w:bCs/>
        <w:sz w:val="24"/>
        <w:szCs w:val="24"/>
      </w:rPr>
      <w:fldChar w:fldCharType="end"/>
    </w:r>
  </w:p>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kinsoku w:val="0"/>
      <w:overflowPunct w:val="0"/>
      <w:spacing w:before="0" w:line="320" w:lineRule="exact"/>
      <w:ind w:left="20"/>
      <w:jc w:val="both"/>
      <w:rPr>
        <w:rFonts w:ascii="楷体" w:hAnsi="楷体" w:eastAsia="楷体" w:cs="黑体"/>
        <w:b/>
        <w:spacing w:val="-2"/>
        <w:sz w:val="24"/>
        <w:szCs w:val="24"/>
      </w:rPr>
    </w:pPr>
    <w:r>
      <w:rPr>
        <w:rFonts w:ascii="楷体" w:hAnsi="楷体" w:eastAsia="楷体"/>
        <w:b/>
        <w:lang/>
      </w:rPr>
      <w:drawing>
        <wp:anchor distT="0" distB="0" distL="114300" distR="114300" simplePos="0" relativeHeight="251661312"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3" name="WordPictureWatermark367128483"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WordPictureWatermark367128483"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r>
      <w:rPr>
        <w:lang/>
      </w:rPr>
      <w:drawing>
        <wp:anchor distT="0" distB="0" distL="114300" distR="114300" simplePos="0" relativeHeight="251662336" behindDoc="0" locked="0" layoutInCell="1" allowOverlap="1">
          <wp:simplePos x="0" y="0"/>
          <wp:positionH relativeFrom="column">
            <wp:posOffset>3923665</wp:posOffset>
          </wp:positionH>
          <wp:positionV relativeFrom="paragraph">
            <wp:posOffset>-95250</wp:posOffset>
          </wp:positionV>
          <wp:extent cx="1325245" cy="424815"/>
          <wp:effectExtent l="0" t="0" r="8255" b="13335"/>
          <wp:wrapSquare wrapText="bothSides"/>
          <wp:docPr id="4" name="图片 1" descr="说明: 说明: C:\Users\JSYH\Desktop\苏银理财.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说明: 说明: C:\Users\JSYH\Desktop\苏银理财.png"/>
                  <pic:cNvPicPr>
                    <a:picLocks noChangeAspect="1"/>
                  </pic:cNvPicPr>
                </pic:nvPicPr>
                <pic:blipFill>
                  <a:blip r:embed="rId2"/>
                  <a:stretch>
                    <a:fillRect/>
                  </a:stretch>
                </pic:blipFill>
                <pic:spPr>
                  <a:xfrm>
                    <a:off x="0" y="0"/>
                    <a:ext cx="1325245" cy="424815"/>
                  </a:xfrm>
                  <a:prstGeom prst="rect">
                    <a:avLst/>
                  </a:prstGeom>
                  <a:noFill/>
                  <a:ln>
                    <a:noFill/>
                  </a:ln>
                </pic:spPr>
              </pic:pic>
            </a:graphicData>
          </a:graphic>
        </wp:anchor>
      </w:drawing>
    </w:r>
    <w:r>
      <w:rPr>
        <w:rFonts w:hint="eastAsia" w:ascii="楷体" w:hAnsi="楷体" w:eastAsia="楷体" w:cs="黑体"/>
        <w:b/>
        <w:bCs/>
        <w:spacing w:val="-2"/>
        <w:sz w:val="24"/>
        <w:szCs w:val="24"/>
      </w:rPr>
      <w:t>理财非存款、产品有风险、投资须谨慎</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60288"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2" name="WordPictureWatermark367128482"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ordPictureWatermark367128482"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w:rPr>
        <w:lang/>
      </w:rPr>
      <w:drawing>
        <wp:anchor distT="0" distB="0" distL="114300" distR="114300" simplePos="0" relativeHeight="251659264" behindDoc="1" locked="0" layoutInCell="0" allowOverlap="1">
          <wp:simplePos x="0" y="0"/>
          <wp:positionH relativeFrom="margin">
            <wp:align>center</wp:align>
          </wp:positionH>
          <wp:positionV relativeFrom="margin">
            <wp:align>center</wp:align>
          </wp:positionV>
          <wp:extent cx="14444345" cy="10958195"/>
          <wp:effectExtent l="0" t="0" r="14605" b="14605"/>
          <wp:wrapNone/>
          <wp:docPr id="1" name="WordPictureWatermark367128481" descr="苏银理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ordPictureWatermark367128481" descr="苏银理财"/>
                  <pic:cNvPicPr>
                    <a:picLocks noChangeAspect="1"/>
                  </pic:cNvPicPr>
                </pic:nvPicPr>
                <pic:blipFill>
                  <a:blip r:embed="rId1">
                    <a:lum bright="70001" contrast="-70000"/>
                  </a:blip>
                  <a:stretch>
                    <a:fillRect/>
                  </a:stretch>
                </pic:blipFill>
                <pic:spPr>
                  <a:xfrm>
                    <a:off x="0" y="0"/>
                    <a:ext cx="14444345" cy="1095819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80B9AA5"/>
    <w:multiLevelType w:val="singleLevel"/>
    <w:tmpl w:val="780B9AA5"/>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4"/>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E2OTRiMjExNmEwMjFkN2NlOTJhMjM5MGJiODQwM2UifQ=="/>
  </w:docVars>
  <w:rsids>
    <w:rsidRoot w:val="002C23F7"/>
    <w:rsid w:val="00001531"/>
    <w:rsid w:val="0000191C"/>
    <w:rsid w:val="00001E2F"/>
    <w:rsid w:val="00002389"/>
    <w:rsid w:val="00003606"/>
    <w:rsid w:val="000048B0"/>
    <w:rsid w:val="000049A9"/>
    <w:rsid w:val="00005B01"/>
    <w:rsid w:val="000101E4"/>
    <w:rsid w:val="0001103A"/>
    <w:rsid w:val="0001274B"/>
    <w:rsid w:val="000131EF"/>
    <w:rsid w:val="00013628"/>
    <w:rsid w:val="00014334"/>
    <w:rsid w:val="000158A7"/>
    <w:rsid w:val="00015A92"/>
    <w:rsid w:val="00015D58"/>
    <w:rsid w:val="00016232"/>
    <w:rsid w:val="0002052D"/>
    <w:rsid w:val="00020A6F"/>
    <w:rsid w:val="00021007"/>
    <w:rsid w:val="000224EA"/>
    <w:rsid w:val="00023BA8"/>
    <w:rsid w:val="000247F9"/>
    <w:rsid w:val="00024894"/>
    <w:rsid w:val="00024C7F"/>
    <w:rsid w:val="000259AD"/>
    <w:rsid w:val="000263ED"/>
    <w:rsid w:val="00027E61"/>
    <w:rsid w:val="00027F48"/>
    <w:rsid w:val="0003072E"/>
    <w:rsid w:val="00030D69"/>
    <w:rsid w:val="00031806"/>
    <w:rsid w:val="00031F80"/>
    <w:rsid w:val="00034890"/>
    <w:rsid w:val="000375C2"/>
    <w:rsid w:val="00037A40"/>
    <w:rsid w:val="000405B1"/>
    <w:rsid w:val="00041968"/>
    <w:rsid w:val="00042987"/>
    <w:rsid w:val="00043555"/>
    <w:rsid w:val="00043D5F"/>
    <w:rsid w:val="000469D0"/>
    <w:rsid w:val="00046AAA"/>
    <w:rsid w:val="0004768E"/>
    <w:rsid w:val="00050975"/>
    <w:rsid w:val="00051DB3"/>
    <w:rsid w:val="0005354E"/>
    <w:rsid w:val="00054854"/>
    <w:rsid w:val="00057B16"/>
    <w:rsid w:val="00060571"/>
    <w:rsid w:val="00061D74"/>
    <w:rsid w:val="00062791"/>
    <w:rsid w:val="00064F2B"/>
    <w:rsid w:val="00066F56"/>
    <w:rsid w:val="000677EE"/>
    <w:rsid w:val="00071418"/>
    <w:rsid w:val="00071581"/>
    <w:rsid w:val="0007293A"/>
    <w:rsid w:val="00072D1F"/>
    <w:rsid w:val="0007366C"/>
    <w:rsid w:val="00074189"/>
    <w:rsid w:val="00074306"/>
    <w:rsid w:val="000757BB"/>
    <w:rsid w:val="00080C2C"/>
    <w:rsid w:val="00081AD6"/>
    <w:rsid w:val="000853F6"/>
    <w:rsid w:val="000867A8"/>
    <w:rsid w:val="00087036"/>
    <w:rsid w:val="00087EDB"/>
    <w:rsid w:val="00091208"/>
    <w:rsid w:val="00093C11"/>
    <w:rsid w:val="00094631"/>
    <w:rsid w:val="00096382"/>
    <w:rsid w:val="00096511"/>
    <w:rsid w:val="0009795C"/>
    <w:rsid w:val="00097F80"/>
    <w:rsid w:val="000A2CBE"/>
    <w:rsid w:val="000A2D2D"/>
    <w:rsid w:val="000A2E68"/>
    <w:rsid w:val="000A45AB"/>
    <w:rsid w:val="000B0078"/>
    <w:rsid w:val="000B0690"/>
    <w:rsid w:val="000B382A"/>
    <w:rsid w:val="000B3B58"/>
    <w:rsid w:val="000B3EFD"/>
    <w:rsid w:val="000B659B"/>
    <w:rsid w:val="000B6E9F"/>
    <w:rsid w:val="000B7D78"/>
    <w:rsid w:val="000C3DB1"/>
    <w:rsid w:val="000C54ED"/>
    <w:rsid w:val="000C5C02"/>
    <w:rsid w:val="000C6143"/>
    <w:rsid w:val="000C7382"/>
    <w:rsid w:val="000D35BD"/>
    <w:rsid w:val="000D71CF"/>
    <w:rsid w:val="000D7225"/>
    <w:rsid w:val="000D722C"/>
    <w:rsid w:val="000E0485"/>
    <w:rsid w:val="000E1951"/>
    <w:rsid w:val="000E1CE1"/>
    <w:rsid w:val="000E2E7D"/>
    <w:rsid w:val="000E34F3"/>
    <w:rsid w:val="000E4205"/>
    <w:rsid w:val="000E7CF6"/>
    <w:rsid w:val="000F0433"/>
    <w:rsid w:val="000F1D3C"/>
    <w:rsid w:val="000F3D5D"/>
    <w:rsid w:val="000F4243"/>
    <w:rsid w:val="000F4ABF"/>
    <w:rsid w:val="000F5B66"/>
    <w:rsid w:val="000F5FF6"/>
    <w:rsid w:val="000F65C5"/>
    <w:rsid w:val="000F7056"/>
    <w:rsid w:val="000F7D2C"/>
    <w:rsid w:val="00100F0C"/>
    <w:rsid w:val="001025A3"/>
    <w:rsid w:val="001036A0"/>
    <w:rsid w:val="0010457E"/>
    <w:rsid w:val="00105595"/>
    <w:rsid w:val="001065F5"/>
    <w:rsid w:val="00110417"/>
    <w:rsid w:val="00111E3E"/>
    <w:rsid w:val="001126F6"/>
    <w:rsid w:val="00112F03"/>
    <w:rsid w:val="00115E7F"/>
    <w:rsid w:val="0011696D"/>
    <w:rsid w:val="00121681"/>
    <w:rsid w:val="00122F58"/>
    <w:rsid w:val="0012352A"/>
    <w:rsid w:val="00123BCB"/>
    <w:rsid w:val="0012411A"/>
    <w:rsid w:val="001242DE"/>
    <w:rsid w:val="00124C00"/>
    <w:rsid w:val="00125B8C"/>
    <w:rsid w:val="0012647A"/>
    <w:rsid w:val="001303B2"/>
    <w:rsid w:val="00130EED"/>
    <w:rsid w:val="00130F7B"/>
    <w:rsid w:val="00131F1B"/>
    <w:rsid w:val="0013364F"/>
    <w:rsid w:val="00133AAF"/>
    <w:rsid w:val="00133B98"/>
    <w:rsid w:val="0013472F"/>
    <w:rsid w:val="00134733"/>
    <w:rsid w:val="001359ED"/>
    <w:rsid w:val="00136108"/>
    <w:rsid w:val="00140B25"/>
    <w:rsid w:val="001450DF"/>
    <w:rsid w:val="0014734D"/>
    <w:rsid w:val="00147B4C"/>
    <w:rsid w:val="00151CC7"/>
    <w:rsid w:val="00152B36"/>
    <w:rsid w:val="00153081"/>
    <w:rsid w:val="001530B2"/>
    <w:rsid w:val="001543E7"/>
    <w:rsid w:val="00155B77"/>
    <w:rsid w:val="00160569"/>
    <w:rsid w:val="001613D4"/>
    <w:rsid w:val="00161E2F"/>
    <w:rsid w:val="001624A3"/>
    <w:rsid w:val="001624DA"/>
    <w:rsid w:val="00162BF5"/>
    <w:rsid w:val="00165E23"/>
    <w:rsid w:val="00166B3A"/>
    <w:rsid w:val="00170099"/>
    <w:rsid w:val="00170194"/>
    <w:rsid w:val="00170927"/>
    <w:rsid w:val="0017092A"/>
    <w:rsid w:val="00170A6E"/>
    <w:rsid w:val="00172B90"/>
    <w:rsid w:val="00173A2B"/>
    <w:rsid w:val="00173CE1"/>
    <w:rsid w:val="00174417"/>
    <w:rsid w:val="001749CF"/>
    <w:rsid w:val="00176B8E"/>
    <w:rsid w:val="001770F3"/>
    <w:rsid w:val="00177BCC"/>
    <w:rsid w:val="0018251A"/>
    <w:rsid w:val="001846FB"/>
    <w:rsid w:val="00184D34"/>
    <w:rsid w:val="00190F9C"/>
    <w:rsid w:val="00194C01"/>
    <w:rsid w:val="00194E69"/>
    <w:rsid w:val="00195FF0"/>
    <w:rsid w:val="0019699F"/>
    <w:rsid w:val="00197DD9"/>
    <w:rsid w:val="001A05F5"/>
    <w:rsid w:val="001A1C12"/>
    <w:rsid w:val="001A23E0"/>
    <w:rsid w:val="001A57DB"/>
    <w:rsid w:val="001A586B"/>
    <w:rsid w:val="001A73F1"/>
    <w:rsid w:val="001B12DF"/>
    <w:rsid w:val="001B1D26"/>
    <w:rsid w:val="001B1E1E"/>
    <w:rsid w:val="001B2F76"/>
    <w:rsid w:val="001B2F82"/>
    <w:rsid w:val="001B36FD"/>
    <w:rsid w:val="001B396B"/>
    <w:rsid w:val="001B3A80"/>
    <w:rsid w:val="001B41E5"/>
    <w:rsid w:val="001B4B9C"/>
    <w:rsid w:val="001B72EB"/>
    <w:rsid w:val="001B7D0D"/>
    <w:rsid w:val="001C13E9"/>
    <w:rsid w:val="001C1473"/>
    <w:rsid w:val="001C4148"/>
    <w:rsid w:val="001C78FF"/>
    <w:rsid w:val="001D0B29"/>
    <w:rsid w:val="001D1C27"/>
    <w:rsid w:val="001D2A8B"/>
    <w:rsid w:val="001D48EE"/>
    <w:rsid w:val="001D49AC"/>
    <w:rsid w:val="001D4A4F"/>
    <w:rsid w:val="001D4BC9"/>
    <w:rsid w:val="001D4FE1"/>
    <w:rsid w:val="001D78FF"/>
    <w:rsid w:val="001E0062"/>
    <w:rsid w:val="001E0387"/>
    <w:rsid w:val="001E16EF"/>
    <w:rsid w:val="001E223F"/>
    <w:rsid w:val="001E4374"/>
    <w:rsid w:val="001E4A82"/>
    <w:rsid w:val="001E4C0D"/>
    <w:rsid w:val="001E4E95"/>
    <w:rsid w:val="001E631F"/>
    <w:rsid w:val="001F0A69"/>
    <w:rsid w:val="001F1728"/>
    <w:rsid w:val="001F2658"/>
    <w:rsid w:val="001F3AD6"/>
    <w:rsid w:val="001F3CCB"/>
    <w:rsid w:val="001F63BD"/>
    <w:rsid w:val="001F6775"/>
    <w:rsid w:val="001F69BF"/>
    <w:rsid w:val="00200449"/>
    <w:rsid w:val="00200DF8"/>
    <w:rsid w:val="0020123C"/>
    <w:rsid w:val="0020196F"/>
    <w:rsid w:val="002024E9"/>
    <w:rsid w:val="0020639A"/>
    <w:rsid w:val="00206529"/>
    <w:rsid w:val="0020768A"/>
    <w:rsid w:val="00210857"/>
    <w:rsid w:val="002119A2"/>
    <w:rsid w:val="00213632"/>
    <w:rsid w:val="00215F66"/>
    <w:rsid w:val="00216C87"/>
    <w:rsid w:val="0022162D"/>
    <w:rsid w:val="002222A4"/>
    <w:rsid w:val="0022633B"/>
    <w:rsid w:val="00226F9D"/>
    <w:rsid w:val="00230F4A"/>
    <w:rsid w:val="00231B08"/>
    <w:rsid w:val="00232A54"/>
    <w:rsid w:val="0023376E"/>
    <w:rsid w:val="0023523A"/>
    <w:rsid w:val="00235E45"/>
    <w:rsid w:val="002366EB"/>
    <w:rsid w:val="002379DD"/>
    <w:rsid w:val="00237FDB"/>
    <w:rsid w:val="0024053C"/>
    <w:rsid w:val="002436C1"/>
    <w:rsid w:val="00243DF5"/>
    <w:rsid w:val="00245106"/>
    <w:rsid w:val="00245D03"/>
    <w:rsid w:val="0024748B"/>
    <w:rsid w:val="00247A7D"/>
    <w:rsid w:val="00250CC8"/>
    <w:rsid w:val="0025150E"/>
    <w:rsid w:val="00251D90"/>
    <w:rsid w:val="00252B51"/>
    <w:rsid w:val="00253997"/>
    <w:rsid w:val="0025423C"/>
    <w:rsid w:val="00254A3C"/>
    <w:rsid w:val="00254A8B"/>
    <w:rsid w:val="00256E57"/>
    <w:rsid w:val="0025744E"/>
    <w:rsid w:val="002579CC"/>
    <w:rsid w:val="0026641B"/>
    <w:rsid w:val="002672C8"/>
    <w:rsid w:val="00270665"/>
    <w:rsid w:val="002709B4"/>
    <w:rsid w:val="00272C53"/>
    <w:rsid w:val="00272E20"/>
    <w:rsid w:val="00273681"/>
    <w:rsid w:val="0027409E"/>
    <w:rsid w:val="00274FAF"/>
    <w:rsid w:val="0027510A"/>
    <w:rsid w:val="002765F4"/>
    <w:rsid w:val="00276883"/>
    <w:rsid w:val="00277C1F"/>
    <w:rsid w:val="002821D7"/>
    <w:rsid w:val="00282F20"/>
    <w:rsid w:val="0029004F"/>
    <w:rsid w:val="00291B84"/>
    <w:rsid w:val="00292B19"/>
    <w:rsid w:val="00292B5E"/>
    <w:rsid w:val="002932FC"/>
    <w:rsid w:val="00294431"/>
    <w:rsid w:val="00294B49"/>
    <w:rsid w:val="00295538"/>
    <w:rsid w:val="00297034"/>
    <w:rsid w:val="002A046A"/>
    <w:rsid w:val="002A237A"/>
    <w:rsid w:val="002A23E0"/>
    <w:rsid w:val="002A2E20"/>
    <w:rsid w:val="002A32DF"/>
    <w:rsid w:val="002A6980"/>
    <w:rsid w:val="002A6E15"/>
    <w:rsid w:val="002A7DF5"/>
    <w:rsid w:val="002A7E94"/>
    <w:rsid w:val="002B0795"/>
    <w:rsid w:val="002B2620"/>
    <w:rsid w:val="002B3225"/>
    <w:rsid w:val="002B4EC9"/>
    <w:rsid w:val="002B5694"/>
    <w:rsid w:val="002C021F"/>
    <w:rsid w:val="002C076E"/>
    <w:rsid w:val="002C2056"/>
    <w:rsid w:val="002C222A"/>
    <w:rsid w:val="002C23F7"/>
    <w:rsid w:val="002C3367"/>
    <w:rsid w:val="002C7117"/>
    <w:rsid w:val="002C7CB4"/>
    <w:rsid w:val="002D0706"/>
    <w:rsid w:val="002D29FD"/>
    <w:rsid w:val="002D2AEC"/>
    <w:rsid w:val="002D2C1F"/>
    <w:rsid w:val="002D600D"/>
    <w:rsid w:val="002E1382"/>
    <w:rsid w:val="002E6F55"/>
    <w:rsid w:val="002F0E4E"/>
    <w:rsid w:val="002F24A1"/>
    <w:rsid w:val="002F344B"/>
    <w:rsid w:val="002F41A5"/>
    <w:rsid w:val="002F709A"/>
    <w:rsid w:val="002F77A8"/>
    <w:rsid w:val="00301619"/>
    <w:rsid w:val="00301AD3"/>
    <w:rsid w:val="00301E80"/>
    <w:rsid w:val="00302755"/>
    <w:rsid w:val="00303147"/>
    <w:rsid w:val="00304D18"/>
    <w:rsid w:val="00305A15"/>
    <w:rsid w:val="00306353"/>
    <w:rsid w:val="00306D41"/>
    <w:rsid w:val="00307094"/>
    <w:rsid w:val="00307342"/>
    <w:rsid w:val="00310A72"/>
    <w:rsid w:val="00311C18"/>
    <w:rsid w:val="0031298C"/>
    <w:rsid w:val="00313D52"/>
    <w:rsid w:val="00314235"/>
    <w:rsid w:val="0031453A"/>
    <w:rsid w:val="003222FC"/>
    <w:rsid w:val="00324044"/>
    <w:rsid w:val="00325003"/>
    <w:rsid w:val="00325D85"/>
    <w:rsid w:val="0032607C"/>
    <w:rsid w:val="00326E7B"/>
    <w:rsid w:val="0033166C"/>
    <w:rsid w:val="0033358A"/>
    <w:rsid w:val="00333937"/>
    <w:rsid w:val="003342B8"/>
    <w:rsid w:val="0033504B"/>
    <w:rsid w:val="00335CB5"/>
    <w:rsid w:val="003362C7"/>
    <w:rsid w:val="00336A5A"/>
    <w:rsid w:val="00337AA0"/>
    <w:rsid w:val="0034160B"/>
    <w:rsid w:val="00342ADB"/>
    <w:rsid w:val="00343B0F"/>
    <w:rsid w:val="00347006"/>
    <w:rsid w:val="00347D0D"/>
    <w:rsid w:val="003503AE"/>
    <w:rsid w:val="00351D8C"/>
    <w:rsid w:val="0035213A"/>
    <w:rsid w:val="00353419"/>
    <w:rsid w:val="00355D35"/>
    <w:rsid w:val="00356BEA"/>
    <w:rsid w:val="00360094"/>
    <w:rsid w:val="00360B76"/>
    <w:rsid w:val="003627FB"/>
    <w:rsid w:val="00362826"/>
    <w:rsid w:val="00363EEF"/>
    <w:rsid w:val="0036403D"/>
    <w:rsid w:val="0036455C"/>
    <w:rsid w:val="003656BF"/>
    <w:rsid w:val="00366074"/>
    <w:rsid w:val="00367122"/>
    <w:rsid w:val="0037083D"/>
    <w:rsid w:val="00372402"/>
    <w:rsid w:val="0037241C"/>
    <w:rsid w:val="003724FE"/>
    <w:rsid w:val="003726C4"/>
    <w:rsid w:val="003732C5"/>
    <w:rsid w:val="00374086"/>
    <w:rsid w:val="00374F38"/>
    <w:rsid w:val="00375BEB"/>
    <w:rsid w:val="003800B4"/>
    <w:rsid w:val="003809E0"/>
    <w:rsid w:val="003814E2"/>
    <w:rsid w:val="00381E88"/>
    <w:rsid w:val="003821F9"/>
    <w:rsid w:val="003827CD"/>
    <w:rsid w:val="00383A99"/>
    <w:rsid w:val="00383D6D"/>
    <w:rsid w:val="003852EF"/>
    <w:rsid w:val="003870EE"/>
    <w:rsid w:val="00393452"/>
    <w:rsid w:val="00394C2C"/>
    <w:rsid w:val="00395441"/>
    <w:rsid w:val="00396F85"/>
    <w:rsid w:val="0039723A"/>
    <w:rsid w:val="003A1CB9"/>
    <w:rsid w:val="003A27B8"/>
    <w:rsid w:val="003A3D8C"/>
    <w:rsid w:val="003A539D"/>
    <w:rsid w:val="003A5FA1"/>
    <w:rsid w:val="003A7623"/>
    <w:rsid w:val="003B1725"/>
    <w:rsid w:val="003B242C"/>
    <w:rsid w:val="003B324C"/>
    <w:rsid w:val="003B4D64"/>
    <w:rsid w:val="003B5DFB"/>
    <w:rsid w:val="003B6220"/>
    <w:rsid w:val="003B76DC"/>
    <w:rsid w:val="003C1E93"/>
    <w:rsid w:val="003C2161"/>
    <w:rsid w:val="003C596C"/>
    <w:rsid w:val="003D03AF"/>
    <w:rsid w:val="003D07CA"/>
    <w:rsid w:val="003D1FE5"/>
    <w:rsid w:val="003D3735"/>
    <w:rsid w:val="003D5148"/>
    <w:rsid w:val="003D6081"/>
    <w:rsid w:val="003D6720"/>
    <w:rsid w:val="003D6B3F"/>
    <w:rsid w:val="003D7951"/>
    <w:rsid w:val="003E030F"/>
    <w:rsid w:val="003E1EFB"/>
    <w:rsid w:val="003E2B26"/>
    <w:rsid w:val="003E4299"/>
    <w:rsid w:val="003E6D92"/>
    <w:rsid w:val="003E70B9"/>
    <w:rsid w:val="003E7812"/>
    <w:rsid w:val="003F2136"/>
    <w:rsid w:val="003F277A"/>
    <w:rsid w:val="003F31E6"/>
    <w:rsid w:val="003F32C6"/>
    <w:rsid w:val="003F40F9"/>
    <w:rsid w:val="003F4C40"/>
    <w:rsid w:val="003F52FE"/>
    <w:rsid w:val="003F580D"/>
    <w:rsid w:val="003F61D7"/>
    <w:rsid w:val="00401F3A"/>
    <w:rsid w:val="0040272E"/>
    <w:rsid w:val="00402EA0"/>
    <w:rsid w:val="00403497"/>
    <w:rsid w:val="004041C9"/>
    <w:rsid w:val="004079CC"/>
    <w:rsid w:val="004106A7"/>
    <w:rsid w:val="00410F85"/>
    <w:rsid w:val="00412823"/>
    <w:rsid w:val="0041382E"/>
    <w:rsid w:val="00413D00"/>
    <w:rsid w:val="00414410"/>
    <w:rsid w:val="00414992"/>
    <w:rsid w:val="00416ED0"/>
    <w:rsid w:val="004175B0"/>
    <w:rsid w:val="00421C9B"/>
    <w:rsid w:val="00425B45"/>
    <w:rsid w:val="00426041"/>
    <w:rsid w:val="00426CBC"/>
    <w:rsid w:val="00427CC0"/>
    <w:rsid w:val="0043002F"/>
    <w:rsid w:val="004303B3"/>
    <w:rsid w:val="00430927"/>
    <w:rsid w:val="0043308A"/>
    <w:rsid w:val="00433113"/>
    <w:rsid w:val="00434262"/>
    <w:rsid w:val="0043673C"/>
    <w:rsid w:val="00436801"/>
    <w:rsid w:val="00437DA0"/>
    <w:rsid w:val="00440E8D"/>
    <w:rsid w:val="004412CE"/>
    <w:rsid w:val="00442603"/>
    <w:rsid w:val="00444898"/>
    <w:rsid w:val="00445E88"/>
    <w:rsid w:val="004509F6"/>
    <w:rsid w:val="00453254"/>
    <w:rsid w:val="0045366F"/>
    <w:rsid w:val="00453F4D"/>
    <w:rsid w:val="00455D49"/>
    <w:rsid w:val="00455DF1"/>
    <w:rsid w:val="00456A0F"/>
    <w:rsid w:val="00456C53"/>
    <w:rsid w:val="00460F22"/>
    <w:rsid w:val="0046446A"/>
    <w:rsid w:val="004645D0"/>
    <w:rsid w:val="00464A97"/>
    <w:rsid w:val="00464FA6"/>
    <w:rsid w:val="004651E5"/>
    <w:rsid w:val="004676E4"/>
    <w:rsid w:val="0046796E"/>
    <w:rsid w:val="00467E09"/>
    <w:rsid w:val="004707EC"/>
    <w:rsid w:val="00470F11"/>
    <w:rsid w:val="0047173F"/>
    <w:rsid w:val="004722FE"/>
    <w:rsid w:val="00472A2C"/>
    <w:rsid w:val="004739B2"/>
    <w:rsid w:val="0047586E"/>
    <w:rsid w:val="004761F8"/>
    <w:rsid w:val="0047624F"/>
    <w:rsid w:val="00476551"/>
    <w:rsid w:val="00476764"/>
    <w:rsid w:val="00477506"/>
    <w:rsid w:val="00477994"/>
    <w:rsid w:val="00480ED0"/>
    <w:rsid w:val="00481CB0"/>
    <w:rsid w:val="00482251"/>
    <w:rsid w:val="00482CC2"/>
    <w:rsid w:val="004835E4"/>
    <w:rsid w:val="00484CF0"/>
    <w:rsid w:val="004856F7"/>
    <w:rsid w:val="00485BBD"/>
    <w:rsid w:val="00485E98"/>
    <w:rsid w:val="00487169"/>
    <w:rsid w:val="00490539"/>
    <w:rsid w:val="004907EE"/>
    <w:rsid w:val="004910C2"/>
    <w:rsid w:val="00491342"/>
    <w:rsid w:val="0049147A"/>
    <w:rsid w:val="00491B25"/>
    <w:rsid w:val="004925DF"/>
    <w:rsid w:val="004929D1"/>
    <w:rsid w:val="004939CA"/>
    <w:rsid w:val="00497D5C"/>
    <w:rsid w:val="004A243A"/>
    <w:rsid w:val="004A2756"/>
    <w:rsid w:val="004A49CD"/>
    <w:rsid w:val="004A4AED"/>
    <w:rsid w:val="004A58D1"/>
    <w:rsid w:val="004A5E88"/>
    <w:rsid w:val="004A65C0"/>
    <w:rsid w:val="004A6C11"/>
    <w:rsid w:val="004B1E66"/>
    <w:rsid w:val="004B4001"/>
    <w:rsid w:val="004B4B39"/>
    <w:rsid w:val="004B6EA9"/>
    <w:rsid w:val="004B735F"/>
    <w:rsid w:val="004B77FF"/>
    <w:rsid w:val="004C0F0C"/>
    <w:rsid w:val="004C1C90"/>
    <w:rsid w:val="004C49FA"/>
    <w:rsid w:val="004C4C9B"/>
    <w:rsid w:val="004C4EA4"/>
    <w:rsid w:val="004C76A6"/>
    <w:rsid w:val="004C7C47"/>
    <w:rsid w:val="004D0388"/>
    <w:rsid w:val="004D0478"/>
    <w:rsid w:val="004D0A93"/>
    <w:rsid w:val="004D20F5"/>
    <w:rsid w:val="004D2DBD"/>
    <w:rsid w:val="004D34DD"/>
    <w:rsid w:val="004D382B"/>
    <w:rsid w:val="004D3B10"/>
    <w:rsid w:val="004D49D8"/>
    <w:rsid w:val="004D6E8F"/>
    <w:rsid w:val="004D73A7"/>
    <w:rsid w:val="004D75F5"/>
    <w:rsid w:val="004D7BA3"/>
    <w:rsid w:val="004E3C6A"/>
    <w:rsid w:val="004E46B0"/>
    <w:rsid w:val="004E5098"/>
    <w:rsid w:val="004E645B"/>
    <w:rsid w:val="004F156E"/>
    <w:rsid w:val="004F3AC9"/>
    <w:rsid w:val="004F3E60"/>
    <w:rsid w:val="004F46F0"/>
    <w:rsid w:val="004F4F78"/>
    <w:rsid w:val="004F55EC"/>
    <w:rsid w:val="005013A2"/>
    <w:rsid w:val="0050386F"/>
    <w:rsid w:val="005039B0"/>
    <w:rsid w:val="005041D5"/>
    <w:rsid w:val="005071D2"/>
    <w:rsid w:val="00510526"/>
    <w:rsid w:val="00510823"/>
    <w:rsid w:val="00511676"/>
    <w:rsid w:val="0051208D"/>
    <w:rsid w:val="00515789"/>
    <w:rsid w:val="00516DA1"/>
    <w:rsid w:val="005201F1"/>
    <w:rsid w:val="00520ACC"/>
    <w:rsid w:val="00520B0B"/>
    <w:rsid w:val="005212D4"/>
    <w:rsid w:val="00521CA7"/>
    <w:rsid w:val="00522AA1"/>
    <w:rsid w:val="0052415B"/>
    <w:rsid w:val="005266CB"/>
    <w:rsid w:val="00527FBD"/>
    <w:rsid w:val="0053069A"/>
    <w:rsid w:val="005308B0"/>
    <w:rsid w:val="00531FB3"/>
    <w:rsid w:val="0053444E"/>
    <w:rsid w:val="0053510C"/>
    <w:rsid w:val="005362B4"/>
    <w:rsid w:val="0053633A"/>
    <w:rsid w:val="005363D9"/>
    <w:rsid w:val="00536E3A"/>
    <w:rsid w:val="005400DC"/>
    <w:rsid w:val="00542CCA"/>
    <w:rsid w:val="0054309D"/>
    <w:rsid w:val="005436F3"/>
    <w:rsid w:val="00544451"/>
    <w:rsid w:val="005449D5"/>
    <w:rsid w:val="00544A6C"/>
    <w:rsid w:val="00551427"/>
    <w:rsid w:val="00551C0A"/>
    <w:rsid w:val="0055207C"/>
    <w:rsid w:val="00552200"/>
    <w:rsid w:val="00554430"/>
    <w:rsid w:val="00560551"/>
    <w:rsid w:val="00561FE9"/>
    <w:rsid w:val="00562804"/>
    <w:rsid w:val="00564093"/>
    <w:rsid w:val="00564F46"/>
    <w:rsid w:val="005659B2"/>
    <w:rsid w:val="00566CB6"/>
    <w:rsid w:val="00567AAC"/>
    <w:rsid w:val="00572A2F"/>
    <w:rsid w:val="00572C28"/>
    <w:rsid w:val="00572D91"/>
    <w:rsid w:val="00574893"/>
    <w:rsid w:val="00575E03"/>
    <w:rsid w:val="005763E6"/>
    <w:rsid w:val="00576A3A"/>
    <w:rsid w:val="00576B9E"/>
    <w:rsid w:val="00577555"/>
    <w:rsid w:val="005803FA"/>
    <w:rsid w:val="005834E9"/>
    <w:rsid w:val="00583A5E"/>
    <w:rsid w:val="00590CD8"/>
    <w:rsid w:val="005929D2"/>
    <w:rsid w:val="00593310"/>
    <w:rsid w:val="0059593D"/>
    <w:rsid w:val="00595C4D"/>
    <w:rsid w:val="00597498"/>
    <w:rsid w:val="0059767A"/>
    <w:rsid w:val="00597B1A"/>
    <w:rsid w:val="005A0462"/>
    <w:rsid w:val="005A2CB9"/>
    <w:rsid w:val="005A43FC"/>
    <w:rsid w:val="005A6007"/>
    <w:rsid w:val="005A6752"/>
    <w:rsid w:val="005A6DE4"/>
    <w:rsid w:val="005A7236"/>
    <w:rsid w:val="005B08B3"/>
    <w:rsid w:val="005B0F07"/>
    <w:rsid w:val="005B16D7"/>
    <w:rsid w:val="005B1BB5"/>
    <w:rsid w:val="005B31FB"/>
    <w:rsid w:val="005B3AC2"/>
    <w:rsid w:val="005B439F"/>
    <w:rsid w:val="005B49CC"/>
    <w:rsid w:val="005B5D07"/>
    <w:rsid w:val="005B62FA"/>
    <w:rsid w:val="005B6576"/>
    <w:rsid w:val="005B75E9"/>
    <w:rsid w:val="005C09F1"/>
    <w:rsid w:val="005C0B01"/>
    <w:rsid w:val="005C1CF3"/>
    <w:rsid w:val="005C201C"/>
    <w:rsid w:val="005C37A8"/>
    <w:rsid w:val="005C3B0D"/>
    <w:rsid w:val="005C4B2D"/>
    <w:rsid w:val="005C5BC2"/>
    <w:rsid w:val="005C72E9"/>
    <w:rsid w:val="005C79F4"/>
    <w:rsid w:val="005D163E"/>
    <w:rsid w:val="005D33A6"/>
    <w:rsid w:val="005D4D03"/>
    <w:rsid w:val="005D5292"/>
    <w:rsid w:val="005D5470"/>
    <w:rsid w:val="005D5CAC"/>
    <w:rsid w:val="005D637B"/>
    <w:rsid w:val="005E0829"/>
    <w:rsid w:val="005E14F6"/>
    <w:rsid w:val="005E162C"/>
    <w:rsid w:val="005E26A1"/>
    <w:rsid w:val="005E2D33"/>
    <w:rsid w:val="005E3B4A"/>
    <w:rsid w:val="005E494F"/>
    <w:rsid w:val="005E5312"/>
    <w:rsid w:val="005E588E"/>
    <w:rsid w:val="005E5F0F"/>
    <w:rsid w:val="005E695B"/>
    <w:rsid w:val="005F0E22"/>
    <w:rsid w:val="005F1547"/>
    <w:rsid w:val="005F1604"/>
    <w:rsid w:val="005F24F4"/>
    <w:rsid w:val="005F2903"/>
    <w:rsid w:val="005F31D7"/>
    <w:rsid w:val="005F3AA3"/>
    <w:rsid w:val="005F537F"/>
    <w:rsid w:val="005F5931"/>
    <w:rsid w:val="005F7D07"/>
    <w:rsid w:val="0060020D"/>
    <w:rsid w:val="00600405"/>
    <w:rsid w:val="00602794"/>
    <w:rsid w:val="00604135"/>
    <w:rsid w:val="006058CB"/>
    <w:rsid w:val="0060733C"/>
    <w:rsid w:val="0061140B"/>
    <w:rsid w:val="00613453"/>
    <w:rsid w:val="0061470B"/>
    <w:rsid w:val="00615A68"/>
    <w:rsid w:val="00616AE1"/>
    <w:rsid w:val="00617F6B"/>
    <w:rsid w:val="0062067C"/>
    <w:rsid w:val="006214AD"/>
    <w:rsid w:val="006223EA"/>
    <w:rsid w:val="0062541F"/>
    <w:rsid w:val="00625863"/>
    <w:rsid w:val="006260E5"/>
    <w:rsid w:val="0062647B"/>
    <w:rsid w:val="00627B69"/>
    <w:rsid w:val="0063088D"/>
    <w:rsid w:val="00633754"/>
    <w:rsid w:val="00633ABD"/>
    <w:rsid w:val="00635E85"/>
    <w:rsid w:val="006371FF"/>
    <w:rsid w:val="006436A7"/>
    <w:rsid w:val="00643DD9"/>
    <w:rsid w:val="00644A75"/>
    <w:rsid w:val="006472A0"/>
    <w:rsid w:val="00651512"/>
    <w:rsid w:val="006521F3"/>
    <w:rsid w:val="00654956"/>
    <w:rsid w:val="00654DE7"/>
    <w:rsid w:val="0065533C"/>
    <w:rsid w:val="0065627A"/>
    <w:rsid w:val="00656A9D"/>
    <w:rsid w:val="00656F5E"/>
    <w:rsid w:val="00657AE8"/>
    <w:rsid w:val="00660173"/>
    <w:rsid w:val="00662CBC"/>
    <w:rsid w:val="00667DCB"/>
    <w:rsid w:val="006700A9"/>
    <w:rsid w:val="0067038D"/>
    <w:rsid w:val="00671A6A"/>
    <w:rsid w:val="00673F0C"/>
    <w:rsid w:val="0067606D"/>
    <w:rsid w:val="00676A38"/>
    <w:rsid w:val="00680098"/>
    <w:rsid w:val="00680957"/>
    <w:rsid w:val="006826F3"/>
    <w:rsid w:val="00682CFC"/>
    <w:rsid w:val="00683B13"/>
    <w:rsid w:val="00686216"/>
    <w:rsid w:val="00686325"/>
    <w:rsid w:val="00686EC4"/>
    <w:rsid w:val="00687063"/>
    <w:rsid w:val="00691425"/>
    <w:rsid w:val="00694731"/>
    <w:rsid w:val="00695E17"/>
    <w:rsid w:val="006960A3"/>
    <w:rsid w:val="00696763"/>
    <w:rsid w:val="00696D1D"/>
    <w:rsid w:val="0069734A"/>
    <w:rsid w:val="006A139A"/>
    <w:rsid w:val="006A1939"/>
    <w:rsid w:val="006A303A"/>
    <w:rsid w:val="006A45A4"/>
    <w:rsid w:val="006A5C3E"/>
    <w:rsid w:val="006B0367"/>
    <w:rsid w:val="006B147C"/>
    <w:rsid w:val="006B1E00"/>
    <w:rsid w:val="006B202A"/>
    <w:rsid w:val="006B4802"/>
    <w:rsid w:val="006B5097"/>
    <w:rsid w:val="006B5516"/>
    <w:rsid w:val="006B5D36"/>
    <w:rsid w:val="006B6C53"/>
    <w:rsid w:val="006B7A09"/>
    <w:rsid w:val="006C42CE"/>
    <w:rsid w:val="006C51DA"/>
    <w:rsid w:val="006C5486"/>
    <w:rsid w:val="006C592D"/>
    <w:rsid w:val="006C5D93"/>
    <w:rsid w:val="006C74B3"/>
    <w:rsid w:val="006D209C"/>
    <w:rsid w:val="006D3791"/>
    <w:rsid w:val="006D465F"/>
    <w:rsid w:val="006D46A6"/>
    <w:rsid w:val="006D4B56"/>
    <w:rsid w:val="006D7209"/>
    <w:rsid w:val="006E11C9"/>
    <w:rsid w:val="006E31AE"/>
    <w:rsid w:val="006E4984"/>
    <w:rsid w:val="006E5E71"/>
    <w:rsid w:val="006F32BF"/>
    <w:rsid w:val="006F38F6"/>
    <w:rsid w:val="006F3989"/>
    <w:rsid w:val="006F4219"/>
    <w:rsid w:val="006F55D6"/>
    <w:rsid w:val="006F575A"/>
    <w:rsid w:val="00700A73"/>
    <w:rsid w:val="007015E9"/>
    <w:rsid w:val="00702A10"/>
    <w:rsid w:val="0070484E"/>
    <w:rsid w:val="00704ED8"/>
    <w:rsid w:val="0070601C"/>
    <w:rsid w:val="00706C45"/>
    <w:rsid w:val="00707008"/>
    <w:rsid w:val="00710993"/>
    <w:rsid w:val="00712884"/>
    <w:rsid w:val="00713C6D"/>
    <w:rsid w:val="0071407D"/>
    <w:rsid w:val="00715090"/>
    <w:rsid w:val="00715379"/>
    <w:rsid w:val="0071587A"/>
    <w:rsid w:val="007159EB"/>
    <w:rsid w:val="007160E0"/>
    <w:rsid w:val="00716E3F"/>
    <w:rsid w:val="00717DE7"/>
    <w:rsid w:val="00720629"/>
    <w:rsid w:val="00720B16"/>
    <w:rsid w:val="007219C5"/>
    <w:rsid w:val="007223FC"/>
    <w:rsid w:val="00723E51"/>
    <w:rsid w:val="00725F23"/>
    <w:rsid w:val="007267EB"/>
    <w:rsid w:val="0072737A"/>
    <w:rsid w:val="00730159"/>
    <w:rsid w:val="00730AC8"/>
    <w:rsid w:val="00730C0D"/>
    <w:rsid w:val="0073129C"/>
    <w:rsid w:val="0073149D"/>
    <w:rsid w:val="007339DB"/>
    <w:rsid w:val="007356FC"/>
    <w:rsid w:val="00735CE3"/>
    <w:rsid w:val="00736DD5"/>
    <w:rsid w:val="00740B14"/>
    <w:rsid w:val="0074101E"/>
    <w:rsid w:val="0074150A"/>
    <w:rsid w:val="00741FEC"/>
    <w:rsid w:val="007433D3"/>
    <w:rsid w:val="00743A86"/>
    <w:rsid w:val="00743F1B"/>
    <w:rsid w:val="0074430F"/>
    <w:rsid w:val="007448B9"/>
    <w:rsid w:val="007468E9"/>
    <w:rsid w:val="00746BED"/>
    <w:rsid w:val="00747514"/>
    <w:rsid w:val="00747D71"/>
    <w:rsid w:val="00750288"/>
    <w:rsid w:val="00751BF1"/>
    <w:rsid w:val="007537F1"/>
    <w:rsid w:val="00756643"/>
    <w:rsid w:val="007567FF"/>
    <w:rsid w:val="00756DA9"/>
    <w:rsid w:val="0075794D"/>
    <w:rsid w:val="007608C8"/>
    <w:rsid w:val="0076153D"/>
    <w:rsid w:val="00761696"/>
    <w:rsid w:val="00761834"/>
    <w:rsid w:val="00761D56"/>
    <w:rsid w:val="007620D8"/>
    <w:rsid w:val="007631A8"/>
    <w:rsid w:val="00763E8D"/>
    <w:rsid w:val="0076420A"/>
    <w:rsid w:val="0076492F"/>
    <w:rsid w:val="00764D0F"/>
    <w:rsid w:val="00764ED5"/>
    <w:rsid w:val="007657DD"/>
    <w:rsid w:val="007665AE"/>
    <w:rsid w:val="007665E7"/>
    <w:rsid w:val="00767809"/>
    <w:rsid w:val="00773845"/>
    <w:rsid w:val="0077605D"/>
    <w:rsid w:val="00777B24"/>
    <w:rsid w:val="00780896"/>
    <w:rsid w:val="00780E48"/>
    <w:rsid w:val="00780FF2"/>
    <w:rsid w:val="007815A1"/>
    <w:rsid w:val="00783BF6"/>
    <w:rsid w:val="00783EBA"/>
    <w:rsid w:val="0078501F"/>
    <w:rsid w:val="00785229"/>
    <w:rsid w:val="0079186B"/>
    <w:rsid w:val="007919EE"/>
    <w:rsid w:val="0079294C"/>
    <w:rsid w:val="00793312"/>
    <w:rsid w:val="007936F3"/>
    <w:rsid w:val="00794B5C"/>
    <w:rsid w:val="00796A9E"/>
    <w:rsid w:val="00796D05"/>
    <w:rsid w:val="00797687"/>
    <w:rsid w:val="007A0BE3"/>
    <w:rsid w:val="007A25AF"/>
    <w:rsid w:val="007A25E6"/>
    <w:rsid w:val="007A30A5"/>
    <w:rsid w:val="007A5FB9"/>
    <w:rsid w:val="007A664A"/>
    <w:rsid w:val="007A70C6"/>
    <w:rsid w:val="007B11D0"/>
    <w:rsid w:val="007B1CB5"/>
    <w:rsid w:val="007B27E9"/>
    <w:rsid w:val="007B2987"/>
    <w:rsid w:val="007B2EEE"/>
    <w:rsid w:val="007B6A8F"/>
    <w:rsid w:val="007B70D3"/>
    <w:rsid w:val="007C1116"/>
    <w:rsid w:val="007C3AA6"/>
    <w:rsid w:val="007C4EF2"/>
    <w:rsid w:val="007C55D4"/>
    <w:rsid w:val="007D093F"/>
    <w:rsid w:val="007D0BE8"/>
    <w:rsid w:val="007D0D6D"/>
    <w:rsid w:val="007D36CA"/>
    <w:rsid w:val="007D4C02"/>
    <w:rsid w:val="007D5920"/>
    <w:rsid w:val="007D6496"/>
    <w:rsid w:val="007D6731"/>
    <w:rsid w:val="007D6837"/>
    <w:rsid w:val="007D7001"/>
    <w:rsid w:val="007D782F"/>
    <w:rsid w:val="007D7E87"/>
    <w:rsid w:val="007E08D3"/>
    <w:rsid w:val="007E1666"/>
    <w:rsid w:val="007E1ECC"/>
    <w:rsid w:val="007E2A09"/>
    <w:rsid w:val="007E40DD"/>
    <w:rsid w:val="007E4D5F"/>
    <w:rsid w:val="007E5A59"/>
    <w:rsid w:val="007E7C73"/>
    <w:rsid w:val="007F0225"/>
    <w:rsid w:val="007F0AC8"/>
    <w:rsid w:val="007F10CE"/>
    <w:rsid w:val="007F1275"/>
    <w:rsid w:val="007F167C"/>
    <w:rsid w:val="007F2066"/>
    <w:rsid w:val="007F2B93"/>
    <w:rsid w:val="007F4005"/>
    <w:rsid w:val="007F64E9"/>
    <w:rsid w:val="007F7EFE"/>
    <w:rsid w:val="007F7F51"/>
    <w:rsid w:val="00800310"/>
    <w:rsid w:val="0080100B"/>
    <w:rsid w:val="00801BBC"/>
    <w:rsid w:val="00802684"/>
    <w:rsid w:val="00804380"/>
    <w:rsid w:val="00804490"/>
    <w:rsid w:val="00805FBA"/>
    <w:rsid w:val="00806655"/>
    <w:rsid w:val="00806B2A"/>
    <w:rsid w:val="008071EA"/>
    <w:rsid w:val="00810DA4"/>
    <w:rsid w:val="00813597"/>
    <w:rsid w:val="00814221"/>
    <w:rsid w:val="00814A29"/>
    <w:rsid w:val="00823238"/>
    <w:rsid w:val="00825793"/>
    <w:rsid w:val="008259B8"/>
    <w:rsid w:val="00825ADA"/>
    <w:rsid w:val="00825DEA"/>
    <w:rsid w:val="0082667C"/>
    <w:rsid w:val="008269BB"/>
    <w:rsid w:val="00827362"/>
    <w:rsid w:val="008279A8"/>
    <w:rsid w:val="00827E59"/>
    <w:rsid w:val="008307A0"/>
    <w:rsid w:val="0083160C"/>
    <w:rsid w:val="00832052"/>
    <w:rsid w:val="0083338A"/>
    <w:rsid w:val="00833923"/>
    <w:rsid w:val="00834CDA"/>
    <w:rsid w:val="008362EF"/>
    <w:rsid w:val="008367C0"/>
    <w:rsid w:val="00840F68"/>
    <w:rsid w:val="00843EBB"/>
    <w:rsid w:val="008443EB"/>
    <w:rsid w:val="00844E1C"/>
    <w:rsid w:val="00847A9C"/>
    <w:rsid w:val="00853F6E"/>
    <w:rsid w:val="00855674"/>
    <w:rsid w:val="0086291A"/>
    <w:rsid w:val="00862D4F"/>
    <w:rsid w:val="00871456"/>
    <w:rsid w:val="00871856"/>
    <w:rsid w:val="00872ABA"/>
    <w:rsid w:val="00872FCE"/>
    <w:rsid w:val="00874EBD"/>
    <w:rsid w:val="008761FC"/>
    <w:rsid w:val="00877D2F"/>
    <w:rsid w:val="008800C1"/>
    <w:rsid w:val="00881137"/>
    <w:rsid w:val="008825C0"/>
    <w:rsid w:val="00882933"/>
    <w:rsid w:val="00883A75"/>
    <w:rsid w:val="00883F98"/>
    <w:rsid w:val="00884396"/>
    <w:rsid w:val="008843FC"/>
    <w:rsid w:val="008862BD"/>
    <w:rsid w:val="008917E7"/>
    <w:rsid w:val="008962E9"/>
    <w:rsid w:val="0089653C"/>
    <w:rsid w:val="00896CA9"/>
    <w:rsid w:val="00897AEF"/>
    <w:rsid w:val="008A0DE6"/>
    <w:rsid w:val="008A1FF5"/>
    <w:rsid w:val="008A233D"/>
    <w:rsid w:val="008A237E"/>
    <w:rsid w:val="008A447D"/>
    <w:rsid w:val="008A4AF5"/>
    <w:rsid w:val="008A4EFA"/>
    <w:rsid w:val="008A62A5"/>
    <w:rsid w:val="008A7E2E"/>
    <w:rsid w:val="008B3124"/>
    <w:rsid w:val="008B5749"/>
    <w:rsid w:val="008B6744"/>
    <w:rsid w:val="008B72A5"/>
    <w:rsid w:val="008B7762"/>
    <w:rsid w:val="008C0421"/>
    <w:rsid w:val="008C1918"/>
    <w:rsid w:val="008C1A51"/>
    <w:rsid w:val="008C2A4A"/>
    <w:rsid w:val="008C2F29"/>
    <w:rsid w:val="008C421B"/>
    <w:rsid w:val="008C4AD0"/>
    <w:rsid w:val="008C5BC0"/>
    <w:rsid w:val="008C6B30"/>
    <w:rsid w:val="008D13DA"/>
    <w:rsid w:val="008D3033"/>
    <w:rsid w:val="008D493B"/>
    <w:rsid w:val="008D4A7C"/>
    <w:rsid w:val="008D51DA"/>
    <w:rsid w:val="008D53A9"/>
    <w:rsid w:val="008D5615"/>
    <w:rsid w:val="008D5F0D"/>
    <w:rsid w:val="008D683A"/>
    <w:rsid w:val="008E0359"/>
    <w:rsid w:val="008E0805"/>
    <w:rsid w:val="008E0FFB"/>
    <w:rsid w:val="008E12B9"/>
    <w:rsid w:val="008E2B4D"/>
    <w:rsid w:val="008E3094"/>
    <w:rsid w:val="008E3295"/>
    <w:rsid w:val="008E55EA"/>
    <w:rsid w:val="008E5926"/>
    <w:rsid w:val="008E75C5"/>
    <w:rsid w:val="008E7887"/>
    <w:rsid w:val="008E7E6E"/>
    <w:rsid w:val="008F1194"/>
    <w:rsid w:val="008F1884"/>
    <w:rsid w:val="008F237A"/>
    <w:rsid w:val="008F2796"/>
    <w:rsid w:val="008F34D3"/>
    <w:rsid w:val="008F69EE"/>
    <w:rsid w:val="008F6A2F"/>
    <w:rsid w:val="008F6B5E"/>
    <w:rsid w:val="008F755E"/>
    <w:rsid w:val="008F79D0"/>
    <w:rsid w:val="009008B1"/>
    <w:rsid w:val="00902015"/>
    <w:rsid w:val="00902E63"/>
    <w:rsid w:val="00903531"/>
    <w:rsid w:val="00904A65"/>
    <w:rsid w:val="00905793"/>
    <w:rsid w:val="00907263"/>
    <w:rsid w:val="009123F6"/>
    <w:rsid w:val="00913E2A"/>
    <w:rsid w:val="0091468D"/>
    <w:rsid w:val="0091475E"/>
    <w:rsid w:val="009163B6"/>
    <w:rsid w:val="00916B61"/>
    <w:rsid w:val="00917ED2"/>
    <w:rsid w:val="00917F42"/>
    <w:rsid w:val="009205E3"/>
    <w:rsid w:val="009217A9"/>
    <w:rsid w:val="00922F29"/>
    <w:rsid w:val="009231E6"/>
    <w:rsid w:val="00924372"/>
    <w:rsid w:val="00924926"/>
    <w:rsid w:val="00924ED9"/>
    <w:rsid w:val="009255FB"/>
    <w:rsid w:val="009277E9"/>
    <w:rsid w:val="0093042C"/>
    <w:rsid w:val="00931316"/>
    <w:rsid w:val="00933086"/>
    <w:rsid w:val="009334DD"/>
    <w:rsid w:val="00934A0F"/>
    <w:rsid w:val="00935CA2"/>
    <w:rsid w:val="00937ED6"/>
    <w:rsid w:val="009406E7"/>
    <w:rsid w:val="00940B04"/>
    <w:rsid w:val="009428F2"/>
    <w:rsid w:val="00944AB3"/>
    <w:rsid w:val="00944B70"/>
    <w:rsid w:val="00945CA3"/>
    <w:rsid w:val="009465F6"/>
    <w:rsid w:val="009469A2"/>
    <w:rsid w:val="00950141"/>
    <w:rsid w:val="00950FC7"/>
    <w:rsid w:val="00951D07"/>
    <w:rsid w:val="00953FB3"/>
    <w:rsid w:val="0095455D"/>
    <w:rsid w:val="0095482D"/>
    <w:rsid w:val="009563AA"/>
    <w:rsid w:val="0096060F"/>
    <w:rsid w:val="009623A4"/>
    <w:rsid w:val="00963229"/>
    <w:rsid w:val="0096515A"/>
    <w:rsid w:val="00965C79"/>
    <w:rsid w:val="00966601"/>
    <w:rsid w:val="00967094"/>
    <w:rsid w:val="00970079"/>
    <w:rsid w:val="009700A9"/>
    <w:rsid w:val="00970A79"/>
    <w:rsid w:val="00972339"/>
    <w:rsid w:val="00973C9C"/>
    <w:rsid w:val="009752BD"/>
    <w:rsid w:val="009758CF"/>
    <w:rsid w:val="00977CDB"/>
    <w:rsid w:val="00983D6F"/>
    <w:rsid w:val="0098672A"/>
    <w:rsid w:val="00990141"/>
    <w:rsid w:val="00990D6F"/>
    <w:rsid w:val="0099157D"/>
    <w:rsid w:val="00993A67"/>
    <w:rsid w:val="00994D7F"/>
    <w:rsid w:val="009962A0"/>
    <w:rsid w:val="0099644E"/>
    <w:rsid w:val="00996F8C"/>
    <w:rsid w:val="009A0627"/>
    <w:rsid w:val="009A0875"/>
    <w:rsid w:val="009A44CB"/>
    <w:rsid w:val="009A454D"/>
    <w:rsid w:val="009A472B"/>
    <w:rsid w:val="009A5C14"/>
    <w:rsid w:val="009A7763"/>
    <w:rsid w:val="009A7A9E"/>
    <w:rsid w:val="009A7B95"/>
    <w:rsid w:val="009A7CA2"/>
    <w:rsid w:val="009B05E8"/>
    <w:rsid w:val="009B05F1"/>
    <w:rsid w:val="009B126C"/>
    <w:rsid w:val="009B2CF2"/>
    <w:rsid w:val="009B45E7"/>
    <w:rsid w:val="009B493A"/>
    <w:rsid w:val="009B4DE3"/>
    <w:rsid w:val="009B62CB"/>
    <w:rsid w:val="009B6612"/>
    <w:rsid w:val="009B6A55"/>
    <w:rsid w:val="009C158C"/>
    <w:rsid w:val="009C196E"/>
    <w:rsid w:val="009C3B52"/>
    <w:rsid w:val="009C4A6F"/>
    <w:rsid w:val="009C55F9"/>
    <w:rsid w:val="009C6025"/>
    <w:rsid w:val="009D161B"/>
    <w:rsid w:val="009D18A0"/>
    <w:rsid w:val="009D1EF0"/>
    <w:rsid w:val="009D478F"/>
    <w:rsid w:val="009D479C"/>
    <w:rsid w:val="009D5125"/>
    <w:rsid w:val="009D705F"/>
    <w:rsid w:val="009D7772"/>
    <w:rsid w:val="009D7E79"/>
    <w:rsid w:val="009E0B76"/>
    <w:rsid w:val="009E0BF6"/>
    <w:rsid w:val="009E1143"/>
    <w:rsid w:val="009E1AE2"/>
    <w:rsid w:val="009E2925"/>
    <w:rsid w:val="009E409E"/>
    <w:rsid w:val="009E63C4"/>
    <w:rsid w:val="009E7131"/>
    <w:rsid w:val="009F0065"/>
    <w:rsid w:val="009F0651"/>
    <w:rsid w:val="009F0908"/>
    <w:rsid w:val="009F0DD3"/>
    <w:rsid w:val="009F1BCB"/>
    <w:rsid w:val="009F2488"/>
    <w:rsid w:val="009F3650"/>
    <w:rsid w:val="009F6E81"/>
    <w:rsid w:val="009F7321"/>
    <w:rsid w:val="00A00194"/>
    <w:rsid w:val="00A001C6"/>
    <w:rsid w:val="00A00244"/>
    <w:rsid w:val="00A00B19"/>
    <w:rsid w:val="00A02BF2"/>
    <w:rsid w:val="00A031F9"/>
    <w:rsid w:val="00A05A0B"/>
    <w:rsid w:val="00A05E0C"/>
    <w:rsid w:val="00A12FE6"/>
    <w:rsid w:val="00A14944"/>
    <w:rsid w:val="00A14CC6"/>
    <w:rsid w:val="00A2017E"/>
    <w:rsid w:val="00A2337E"/>
    <w:rsid w:val="00A24A28"/>
    <w:rsid w:val="00A24EAA"/>
    <w:rsid w:val="00A24FA6"/>
    <w:rsid w:val="00A2547A"/>
    <w:rsid w:val="00A261BA"/>
    <w:rsid w:val="00A26D65"/>
    <w:rsid w:val="00A37578"/>
    <w:rsid w:val="00A403A8"/>
    <w:rsid w:val="00A404B2"/>
    <w:rsid w:val="00A406D2"/>
    <w:rsid w:val="00A41901"/>
    <w:rsid w:val="00A428F3"/>
    <w:rsid w:val="00A44630"/>
    <w:rsid w:val="00A44671"/>
    <w:rsid w:val="00A446D4"/>
    <w:rsid w:val="00A4582E"/>
    <w:rsid w:val="00A461C3"/>
    <w:rsid w:val="00A466C5"/>
    <w:rsid w:val="00A46BD4"/>
    <w:rsid w:val="00A472C5"/>
    <w:rsid w:val="00A50CD1"/>
    <w:rsid w:val="00A5130C"/>
    <w:rsid w:val="00A513F1"/>
    <w:rsid w:val="00A528CC"/>
    <w:rsid w:val="00A52EF0"/>
    <w:rsid w:val="00A5472F"/>
    <w:rsid w:val="00A54C4F"/>
    <w:rsid w:val="00A54E23"/>
    <w:rsid w:val="00A560DE"/>
    <w:rsid w:val="00A565E9"/>
    <w:rsid w:val="00A56F02"/>
    <w:rsid w:val="00A57933"/>
    <w:rsid w:val="00A57FD5"/>
    <w:rsid w:val="00A61B87"/>
    <w:rsid w:val="00A62028"/>
    <w:rsid w:val="00A62ED1"/>
    <w:rsid w:val="00A6320B"/>
    <w:rsid w:val="00A640E4"/>
    <w:rsid w:val="00A6444C"/>
    <w:rsid w:val="00A64491"/>
    <w:rsid w:val="00A66DA4"/>
    <w:rsid w:val="00A7441C"/>
    <w:rsid w:val="00A75036"/>
    <w:rsid w:val="00A7606A"/>
    <w:rsid w:val="00A765AA"/>
    <w:rsid w:val="00A7702A"/>
    <w:rsid w:val="00A80332"/>
    <w:rsid w:val="00A80D18"/>
    <w:rsid w:val="00A84413"/>
    <w:rsid w:val="00A85069"/>
    <w:rsid w:val="00A851D3"/>
    <w:rsid w:val="00A85C99"/>
    <w:rsid w:val="00A86059"/>
    <w:rsid w:val="00A8682A"/>
    <w:rsid w:val="00A86E19"/>
    <w:rsid w:val="00A877EA"/>
    <w:rsid w:val="00A90434"/>
    <w:rsid w:val="00A90848"/>
    <w:rsid w:val="00A90D5D"/>
    <w:rsid w:val="00A919A8"/>
    <w:rsid w:val="00A94817"/>
    <w:rsid w:val="00A95E04"/>
    <w:rsid w:val="00A9702D"/>
    <w:rsid w:val="00AA084D"/>
    <w:rsid w:val="00AA09CE"/>
    <w:rsid w:val="00AA109A"/>
    <w:rsid w:val="00AA184D"/>
    <w:rsid w:val="00AA21D4"/>
    <w:rsid w:val="00AA3ADF"/>
    <w:rsid w:val="00AA4945"/>
    <w:rsid w:val="00AA4F18"/>
    <w:rsid w:val="00AA5364"/>
    <w:rsid w:val="00AA6429"/>
    <w:rsid w:val="00AA7490"/>
    <w:rsid w:val="00AA7EB9"/>
    <w:rsid w:val="00AB0321"/>
    <w:rsid w:val="00AB21EA"/>
    <w:rsid w:val="00AB29DA"/>
    <w:rsid w:val="00AB2D5C"/>
    <w:rsid w:val="00AB3BFD"/>
    <w:rsid w:val="00AB51C0"/>
    <w:rsid w:val="00AB538D"/>
    <w:rsid w:val="00AB70F7"/>
    <w:rsid w:val="00AC12F5"/>
    <w:rsid w:val="00AC1749"/>
    <w:rsid w:val="00AC2A9D"/>
    <w:rsid w:val="00AC3445"/>
    <w:rsid w:val="00AC56CE"/>
    <w:rsid w:val="00AC59CF"/>
    <w:rsid w:val="00AC604F"/>
    <w:rsid w:val="00AC71B2"/>
    <w:rsid w:val="00AD2F15"/>
    <w:rsid w:val="00AD34FD"/>
    <w:rsid w:val="00AD4224"/>
    <w:rsid w:val="00AD4E75"/>
    <w:rsid w:val="00AD6DC7"/>
    <w:rsid w:val="00AD74C8"/>
    <w:rsid w:val="00AE3181"/>
    <w:rsid w:val="00AE357C"/>
    <w:rsid w:val="00AE5B6E"/>
    <w:rsid w:val="00AE5E8C"/>
    <w:rsid w:val="00AE6795"/>
    <w:rsid w:val="00AE6ED6"/>
    <w:rsid w:val="00AE7EDF"/>
    <w:rsid w:val="00AF07F9"/>
    <w:rsid w:val="00AF165B"/>
    <w:rsid w:val="00AF16C9"/>
    <w:rsid w:val="00AF263D"/>
    <w:rsid w:val="00AF3257"/>
    <w:rsid w:val="00AF3BF2"/>
    <w:rsid w:val="00AF4186"/>
    <w:rsid w:val="00B01969"/>
    <w:rsid w:val="00B04BED"/>
    <w:rsid w:val="00B06EDD"/>
    <w:rsid w:val="00B10470"/>
    <w:rsid w:val="00B10AEC"/>
    <w:rsid w:val="00B12515"/>
    <w:rsid w:val="00B1367C"/>
    <w:rsid w:val="00B1389F"/>
    <w:rsid w:val="00B16963"/>
    <w:rsid w:val="00B2044E"/>
    <w:rsid w:val="00B20C01"/>
    <w:rsid w:val="00B234B3"/>
    <w:rsid w:val="00B24FA2"/>
    <w:rsid w:val="00B27D31"/>
    <w:rsid w:val="00B30BB7"/>
    <w:rsid w:val="00B3130A"/>
    <w:rsid w:val="00B320FF"/>
    <w:rsid w:val="00B32B9E"/>
    <w:rsid w:val="00B32FB1"/>
    <w:rsid w:val="00B35AFE"/>
    <w:rsid w:val="00B40329"/>
    <w:rsid w:val="00B40B8D"/>
    <w:rsid w:val="00B40D1D"/>
    <w:rsid w:val="00B4103B"/>
    <w:rsid w:val="00B432A2"/>
    <w:rsid w:val="00B45440"/>
    <w:rsid w:val="00B53BE1"/>
    <w:rsid w:val="00B5466A"/>
    <w:rsid w:val="00B546E5"/>
    <w:rsid w:val="00B54E07"/>
    <w:rsid w:val="00B565C8"/>
    <w:rsid w:val="00B56E68"/>
    <w:rsid w:val="00B575ED"/>
    <w:rsid w:val="00B57F78"/>
    <w:rsid w:val="00B62E1D"/>
    <w:rsid w:val="00B62F9E"/>
    <w:rsid w:val="00B6326B"/>
    <w:rsid w:val="00B66829"/>
    <w:rsid w:val="00B66F7A"/>
    <w:rsid w:val="00B67ED0"/>
    <w:rsid w:val="00B70E53"/>
    <w:rsid w:val="00B71451"/>
    <w:rsid w:val="00B73919"/>
    <w:rsid w:val="00B74278"/>
    <w:rsid w:val="00B74705"/>
    <w:rsid w:val="00B74730"/>
    <w:rsid w:val="00B75149"/>
    <w:rsid w:val="00B803D6"/>
    <w:rsid w:val="00B810CF"/>
    <w:rsid w:val="00B83257"/>
    <w:rsid w:val="00B903E3"/>
    <w:rsid w:val="00B911C2"/>
    <w:rsid w:val="00B91DF8"/>
    <w:rsid w:val="00B93396"/>
    <w:rsid w:val="00B95300"/>
    <w:rsid w:val="00B9543E"/>
    <w:rsid w:val="00B9594C"/>
    <w:rsid w:val="00B96F03"/>
    <w:rsid w:val="00B9734C"/>
    <w:rsid w:val="00BA0B05"/>
    <w:rsid w:val="00BA0E15"/>
    <w:rsid w:val="00BA1C6F"/>
    <w:rsid w:val="00BA314C"/>
    <w:rsid w:val="00BA6C1F"/>
    <w:rsid w:val="00BA6D21"/>
    <w:rsid w:val="00BB1E94"/>
    <w:rsid w:val="00BB57F4"/>
    <w:rsid w:val="00BB64DA"/>
    <w:rsid w:val="00BB7712"/>
    <w:rsid w:val="00BC16E5"/>
    <w:rsid w:val="00BC177D"/>
    <w:rsid w:val="00BC1A41"/>
    <w:rsid w:val="00BC2114"/>
    <w:rsid w:val="00BC2908"/>
    <w:rsid w:val="00BC3FC3"/>
    <w:rsid w:val="00BC5224"/>
    <w:rsid w:val="00BC6793"/>
    <w:rsid w:val="00BC6BAB"/>
    <w:rsid w:val="00BC6FDF"/>
    <w:rsid w:val="00BC7AE4"/>
    <w:rsid w:val="00BC7D79"/>
    <w:rsid w:val="00BD02DD"/>
    <w:rsid w:val="00BD09E2"/>
    <w:rsid w:val="00BD4A4B"/>
    <w:rsid w:val="00BD4C27"/>
    <w:rsid w:val="00BD626E"/>
    <w:rsid w:val="00BD6E92"/>
    <w:rsid w:val="00BE05BB"/>
    <w:rsid w:val="00BE0F25"/>
    <w:rsid w:val="00BE207E"/>
    <w:rsid w:val="00BE274E"/>
    <w:rsid w:val="00BE336C"/>
    <w:rsid w:val="00BE4D2C"/>
    <w:rsid w:val="00BE7988"/>
    <w:rsid w:val="00BE7F6B"/>
    <w:rsid w:val="00BF0382"/>
    <w:rsid w:val="00BF082E"/>
    <w:rsid w:val="00BF0FC4"/>
    <w:rsid w:val="00BF1E0A"/>
    <w:rsid w:val="00BF27E9"/>
    <w:rsid w:val="00BF6F76"/>
    <w:rsid w:val="00C02978"/>
    <w:rsid w:val="00C034A9"/>
    <w:rsid w:val="00C03859"/>
    <w:rsid w:val="00C03DBF"/>
    <w:rsid w:val="00C04FA0"/>
    <w:rsid w:val="00C05E01"/>
    <w:rsid w:val="00C05E42"/>
    <w:rsid w:val="00C06075"/>
    <w:rsid w:val="00C063F1"/>
    <w:rsid w:val="00C078BD"/>
    <w:rsid w:val="00C13805"/>
    <w:rsid w:val="00C15CA6"/>
    <w:rsid w:val="00C16807"/>
    <w:rsid w:val="00C2025F"/>
    <w:rsid w:val="00C20D0B"/>
    <w:rsid w:val="00C214FA"/>
    <w:rsid w:val="00C2167D"/>
    <w:rsid w:val="00C21BCC"/>
    <w:rsid w:val="00C228FA"/>
    <w:rsid w:val="00C23C07"/>
    <w:rsid w:val="00C2403A"/>
    <w:rsid w:val="00C24CC2"/>
    <w:rsid w:val="00C266D3"/>
    <w:rsid w:val="00C266DA"/>
    <w:rsid w:val="00C26FE9"/>
    <w:rsid w:val="00C27BD3"/>
    <w:rsid w:val="00C27D03"/>
    <w:rsid w:val="00C31095"/>
    <w:rsid w:val="00C31607"/>
    <w:rsid w:val="00C32321"/>
    <w:rsid w:val="00C32332"/>
    <w:rsid w:val="00C33AFE"/>
    <w:rsid w:val="00C349F0"/>
    <w:rsid w:val="00C34A1E"/>
    <w:rsid w:val="00C3720B"/>
    <w:rsid w:val="00C41423"/>
    <w:rsid w:val="00C43335"/>
    <w:rsid w:val="00C4334F"/>
    <w:rsid w:val="00C433D7"/>
    <w:rsid w:val="00C4434A"/>
    <w:rsid w:val="00C44974"/>
    <w:rsid w:val="00C44E9E"/>
    <w:rsid w:val="00C44FEB"/>
    <w:rsid w:val="00C46098"/>
    <w:rsid w:val="00C46439"/>
    <w:rsid w:val="00C46B32"/>
    <w:rsid w:val="00C47A26"/>
    <w:rsid w:val="00C50E1F"/>
    <w:rsid w:val="00C516EC"/>
    <w:rsid w:val="00C53DC9"/>
    <w:rsid w:val="00C55ACE"/>
    <w:rsid w:val="00C55ADF"/>
    <w:rsid w:val="00C571A9"/>
    <w:rsid w:val="00C57A73"/>
    <w:rsid w:val="00C615A7"/>
    <w:rsid w:val="00C616BF"/>
    <w:rsid w:val="00C62C5D"/>
    <w:rsid w:val="00C64873"/>
    <w:rsid w:val="00C65A0A"/>
    <w:rsid w:val="00C66628"/>
    <w:rsid w:val="00C7422F"/>
    <w:rsid w:val="00C751BF"/>
    <w:rsid w:val="00C7651A"/>
    <w:rsid w:val="00C77280"/>
    <w:rsid w:val="00C812AA"/>
    <w:rsid w:val="00C81AD1"/>
    <w:rsid w:val="00C83111"/>
    <w:rsid w:val="00C84265"/>
    <w:rsid w:val="00C84ED5"/>
    <w:rsid w:val="00C84F3C"/>
    <w:rsid w:val="00C9070B"/>
    <w:rsid w:val="00C93B0E"/>
    <w:rsid w:val="00C94791"/>
    <w:rsid w:val="00C94F5B"/>
    <w:rsid w:val="00C96465"/>
    <w:rsid w:val="00C96D0A"/>
    <w:rsid w:val="00CA001B"/>
    <w:rsid w:val="00CA01AD"/>
    <w:rsid w:val="00CA02DD"/>
    <w:rsid w:val="00CA1A52"/>
    <w:rsid w:val="00CA2625"/>
    <w:rsid w:val="00CA3024"/>
    <w:rsid w:val="00CA3E46"/>
    <w:rsid w:val="00CA5475"/>
    <w:rsid w:val="00CA6FE3"/>
    <w:rsid w:val="00CA7040"/>
    <w:rsid w:val="00CB19DA"/>
    <w:rsid w:val="00CB1BF5"/>
    <w:rsid w:val="00CB1D88"/>
    <w:rsid w:val="00CB3AF4"/>
    <w:rsid w:val="00CB3F45"/>
    <w:rsid w:val="00CB40A0"/>
    <w:rsid w:val="00CB44F6"/>
    <w:rsid w:val="00CB51FF"/>
    <w:rsid w:val="00CB7F06"/>
    <w:rsid w:val="00CC0334"/>
    <w:rsid w:val="00CC1692"/>
    <w:rsid w:val="00CC1B8B"/>
    <w:rsid w:val="00CC1DF5"/>
    <w:rsid w:val="00CC3A59"/>
    <w:rsid w:val="00CC4253"/>
    <w:rsid w:val="00CC47A0"/>
    <w:rsid w:val="00CC4804"/>
    <w:rsid w:val="00CC5133"/>
    <w:rsid w:val="00CC5F27"/>
    <w:rsid w:val="00CC63FE"/>
    <w:rsid w:val="00CC7437"/>
    <w:rsid w:val="00CD1841"/>
    <w:rsid w:val="00CD20E1"/>
    <w:rsid w:val="00CD3BBB"/>
    <w:rsid w:val="00CD3C54"/>
    <w:rsid w:val="00CD5B53"/>
    <w:rsid w:val="00CD7776"/>
    <w:rsid w:val="00CE3521"/>
    <w:rsid w:val="00CE3BC2"/>
    <w:rsid w:val="00CE5723"/>
    <w:rsid w:val="00CE6C03"/>
    <w:rsid w:val="00CE6ED8"/>
    <w:rsid w:val="00CE74C3"/>
    <w:rsid w:val="00CF1168"/>
    <w:rsid w:val="00CF1C88"/>
    <w:rsid w:val="00CF30F8"/>
    <w:rsid w:val="00CF3FC7"/>
    <w:rsid w:val="00CF4841"/>
    <w:rsid w:val="00CF5493"/>
    <w:rsid w:val="00CF63E6"/>
    <w:rsid w:val="00CF67D8"/>
    <w:rsid w:val="00CF694E"/>
    <w:rsid w:val="00CF6BF4"/>
    <w:rsid w:val="00CF7DE9"/>
    <w:rsid w:val="00D00983"/>
    <w:rsid w:val="00D01398"/>
    <w:rsid w:val="00D0189D"/>
    <w:rsid w:val="00D04528"/>
    <w:rsid w:val="00D050BA"/>
    <w:rsid w:val="00D05E32"/>
    <w:rsid w:val="00D06FC6"/>
    <w:rsid w:val="00D106A3"/>
    <w:rsid w:val="00D11CE7"/>
    <w:rsid w:val="00D12281"/>
    <w:rsid w:val="00D14D03"/>
    <w:rsid w:val="00D174F0"/>
    <w:rsid w:val="00D17707"/>
    <w:rsid w:val="00D2713F"/>
    <w:rsid w:val="00D2772F"/>
    <w:rsid w:val="00D3079F"/>
    <w:rsid w:val="00D30C5E"/>
    <w:rsid w:val="00D3100A"/>
    <w:rsid w:val="00D312EB"/>
    <w:rsid w:val="00D31FE3"/>
    <w:rsid w:val="00D3348F"/>
    <w:rsid w:val="00D3413F"/>
    <w:rsid w:val="00D3483B"/>
    <w:rsid w:val="00D3497A"/>
    <w:rsid w:val="00D373B0"/>
    <w:rsid w:val="00D40C75"/>
    <w:rsid w:val="00D40F22"/>
    <w:rsid w:val="00D4142C"/>
    <w:rsid w:val="00D41A32"/>
    <w:rsid w:val="00D4229B"/>
    <w:rsid w:val="00D42F0B"/>
    <w:rsid w:val="00D42F4C"/>
    <w:rsid w:val="00D45C32"/>
    <w:rsid w:val="00D462AD"/>
    <w:rsid w:val="00D46FF7"/>
    <w:rsid w:val="00D47AD5"/>
    <w:rsid w:val="00D47D4C"/>
    <w:rsid w:val="00D518C3"/>
    <w:rsid w:val="00D51C09"/>
    <w:rsid w:val="00D532C6"/>
    <w:rsid w:val="00D5426B"/>
    <w:rsid w:val="00D5599A"/>
    <w:rsid w:val="00D55B21"/>
    <w:rsid w:val="00D569AD"/>
    <w:rsid w:val="00D57999"/>
    <w:rsid w:val="00D605E5"/>
    <w:rsid w:val="00D62A8B"/>
    <w:rsid w:val="00D71595"/>
    <w:rsid w:val="00D71B33"/>
    <w:rsid w:val="00D72158"/>
    <w:rsid w:val="00D740F4"/>
    <w:rsid w:val="00D75EE1"/>
    <w:rsid w:val="00D802FD"/>
    <w:rsid w:val="00D8162D"/>
    <w:rsid w:val="00D869C5"/>
    <w:rsid w:val="00D91240"/>
    <w:rsid w:val="00D932E1"/>
    <w:rsid w:val="00D937A6"/>
    <w:rsid w:val="00D94A5A"/>
    <w:rsid w:val="00D97721"/>
    <w:rsid w:val="00DA0427"/>
    <w:rsid w:val="00DA05B7"/>
    <w:rsid w:val="00DA127D"/>
    <w:rsid w:val="00DA266F"/>
    <w:rsid w:val="00DA26A7"/>
    <w:rsid w:val="00DA2928"/>
    <w:rsid w:val="00DA30E8"/>
    <w:rsid w:val="00DA3AE2"/>
    <w:rsid w:val="00DA3B33"/>
    <w:rsid w:val="00DA42A3"/>
    <w:rsid w:val="00DA5B4D"/>
    <w:rsid w:val="00DA7075"/>
    <w:rsid w:val="00DA74A2"/>
    <w:rsid w:val="00DB6664"/>
    <w:rsid w:val="00DB73FB"/>
    <w:rsid w:val="00DB7CD4"/>
    <w:rsid w:val="00DC0DBE"/>
    <w:rsid w:val="00DC26C3"/>
    <w:rsid w:val="00DC429D"/>
    <w:rsid w:val="00DC6E17"/>
    <w:rsid w:val="00DC6F8F"/>
    <w:rsid w:val="00DD26B7"/>
    <w:rsid w:val="00DD35D4"/>
    <w:rsid w:val="00DD4DCA"/>
    <w:rsid w:val="00DD5181"/>
    <w:rsid w:val="00DD5CCB"/>
    <w:rsid w:val="00DD6003"/>
    <w:rsid w:val="00DD7423"/>
    <w:rsid w:val="00DD7B1D"/>
    <w:rsid w:val="00DE1A4C"/>
    <w:rsid w:val="00DE285A"/>
    <w:rsid w:val="00DE2F3F"/>
    <w:rsid w:val="00DE4AFA"/>
    <w:rsid w:val="00DE5417"/>
    <w:rsid w:val="00DE5630"/>
    <w:rsid w:val="00DE7227"/>
    <w:rsid w:val="00DE76FC"/>
    <w:rsid w:val="00DF3789"/>
    <w:rsid w:val="00DF3F22"/>
    <w:rsid w:val="00DF4241"/>
    <w:rsid w:val="00DF45B4"/>
    <w:rsid w:val="00DF4BAB"/>
    <w:rsid w:val="00DF5D14"/>
    <w:rsid w:val="00DF608E"/>
    <w:rsid w:val="00DF6CC5"/>
    <w:rsid w:val="00DF6DEE"/>
    <w:rsid w:val="00DF6FF1"/>
    <w:rsid w:val="00DF76E0"/>
    <w:rsid w:val="00E0139A"/>
    <w:rsid w:val="00E015A9"/>
    <w:rsid w:val="00E02883"/>
    <w:rsid w:val="00E04029"/>
    <w:rsid w:val="00E04242"/>
    <w:rsid w:val="00E10861"/>
    <w:rsid w:val="00E11487"/>
    <w:rsid w:val="00E120BC"/>
    <w:rsid w:val="00E1376C"/>
    <w:rsid w:val="00E15635"/>
    <w:rsid w:val="00E16BEE"/>
    <w:rsid w:val="00E213CB"/>
    <w:rsid w:val="00E21B02"/>
    <w:rsid w:val="00E23869"/>
    <w:rsid w:val="00E25D25"/>
    <w:rsid w:val="00E26156"/>
    <w:rsid w:val="00E27323"/>
    <w:rsid w:val="00E27DE1"/>
    <w:rsid w:val="00E3099D"/>
    <w:rsid w:val="00E333FB"/>
    <w:rsid w:val="00E3345C"/>
    <w:rsid w:val="00E36150"/>
    <w:rsid w:val="00E36F7B"/>
    <w:rsid w:val="00E40778"/>
    <w:rsid w:val="00E40AFD"/>
    <w:rsid w:val="00E41FE9"/>
    <w:rsid w:val="00E4501A"/>
    <w:rsid w:val="00E4586E"/>
    <w:rsid w:val="00E45DE5"/>
    <w:rsid w:val="00E45DEB"/>
    <w:rsid w:val="00E464B9"/>
    <w:rsid w:val="00E46BFA"/>
    <w:rsid w:val="00E47194"/>
    <w:rsid w:val="00E477BE"/>
    <w:rsid w:val="00E479D0"/>
    <w:rsid w:val="00E47B62"/>
    <w:rsid w:val="00E51517"/>
    <w:rsid w:val="00E51F74"/>
    <w:rsid w:val="00E54533"/>
    <w:rsid w:val="00E55868"/>
    <w:rsid w:val="00E562D5"/>
    <w:rsid w:val="00E60C14"/>
    <w:rsid w:val="00E61815"/>
    <w:rsid w:val="00E63C50"/>
    <w:rsid w:val="00E63D09"/>
    <w:rsid w:val="00E653EB"/>
    <w:rsid w:val="00E65D86"/>
    <w:rsid w:val="00E66967"/>
    <w:rsid w:val="00E67E1C"/>
    <w:rsid w:val="00E701C2"/>
    <w:rsid w:val="00E70E2A"/>
    <w:rsid w:val="00E72C1A"/>
    <w:rsid w:val="00E72D7F"/>
    <w:rsid w:val="00E74BBE"/>
    <w:rsid w:val="00E763CD"/>
    <w:rsid w:val="00E76A0F"/>
    <w:rsid w:val="00E76CCC"/>
    <w:rsid w:val="00E7711B"/>
    <w:rsid w:val="00E807D4"/>
    <w:rsid w:val="00E8114F"/>
    <w:rsid w:val="00E828F9"/>
    <w:rsid w:val="00E82B64"/>
    <w:rsid w:val="00E83C6F"/>
    <w:rsid w:val="00E83E08"/>
    <w:rsid w:val="00E850A3"/>
    <w:rsid w:val="00E8528B"/>
    <w:rsid w:val="00E86A15"/>
    <w:rsid w:val="00E87034"/>
    <w:rsid w:val="00E90733"/>
    <w:rsid w:val="00E90F26"/>
    <w:rsid w:val="00E931A2"/>
    <w:rsid w:val="00E93D9A"/>
    <w:rsid w:val="00E96340"/>
    <w:rsid w:val="00E963DD"/>
    <w:rsid w:val="00EA0CBB"/>
    <w:rsid w:val="00EA38D5"/>
    <w:rsid w:val="00EA4363"/>
    <w:rsid w:val="00EA5409"/>
    <w:rsid w:val="00EA5F10"/>
    <w:rsid w:val="00EA5F30"/>
    <w:rsid w:val="00EA6EA0"/>
    <w:rsid w:val="00EA6F59"/>
    <w:rsid w:val="00EA789A"/>
    <w:rsid w:val="00EA7F85"/>
    <w:rsid w:val="00EB219C"/>
    <w:rsid w:val="00EB321E"/>
    <w:rsid w:val="00EB62A2"/>
    <w:rsid w:val="00EB64FC"/>
    <w:rsid w:val="00EB7B3E"/>
    <w:rsid w:val="00EC0FC7"/>
    <w:rsid w:val="00EC3466"/>
    <w:rsid w:val="00EC37C6"/>
    <w:rsid w:val="00EC3CEA"/>
    <w:rsid w:val="00EC744B"/>
    <w:rsid w:val="00EC778D"/>
    <w:rsid w:val="00EC7B5A"/>
    <w:rsid w:val="00ED0D68"/>
    <w:rsid w:val="00ED1573"/>
    <w:rsid w:val="00ED1966"/>
    <w:rsid w:val="00ED3BC0"/>
    <w:rsid w:val="00ED419B"/>
    <w:rsid w:val="00ED4DA5"/>
    <w:rsid w:val="00ED5AAA"/>
    <w:rsid w:val="00ED5AF3"/>
    <w:rsid w:val="00ED651E"/>
    <w:rsid w:val="00ED6E55"/>
    <w:rsid w:val="00ED71E9"/>
    <w:rsid w:val="00ED7419"/>
    <w:rsid w:val="00EE050F"/>
    <w:rsid w:val="00EE067F"/>
    <w:rsid w:val="00EE081A"/>
    <w:rsid w:val="00EE1EB5"/>
    <w:rsid w:val="00EE243B"/>
    <w:rsid w:val="00EE2FB7"/>
    <w:rsid w:val="00EE60DB"/>
    <w:rsid w:val="00EE7E38"/>
    <w:rsid w:val="00EE7EEA"/>
    <w:rsid w:val="00EF1D7E"/>
    <w:rsid w:val="00EF2D5D"/>
    <w:rsid w:val="00EF39FC"/>
    <w:rsid w:val="00EF449C"/>
    <w:rsid w:val="00EF4CEE"/>
    <w:rsid w:val="00EF5638"/>
    <w:rsid w:val="00EF6801"/>
    <w:rsid w:val="00EF7F09"/>
    <w:rsid w:val="00F016CA"/>
    <w:rsid w:val="00F01E4F"/>
    <w:rsid w:val="00F04143"/>
    <w:rsid w:val="00F0482C"/>
    <w:rsid w:val="00F0740D"/>
    <w:rsid w:val="00F07750"/>
    <w:rsid w:val="00F07780"/>
    <w:rsid w:val="00F106C0"/>
    <w:rsid w:val="00F10988"/>
    <w:rsid w:val="00F10A86"/>
    <w:rsid w:val="00F10BA4"/>
    <w:rsid w:val="00F12149"/>
    <w:rsid w:val="00F13587"/>
    <w:rsid w:val="00F16387"/>
    <w:rsid w:val="00F203C7"/>
    <w:rsid w:val="00F210E0"/>
    <w:rsid w:val="00F21646"/>
    <w:rsid w:val="00F21917"/>
    <w:rsid w:val="00F27A4B"/>
    <w:rsid w:val="00F27BB1"/>
    <w:rsid w:val="00F319B6"/>
    <w:rsid w:val="00F31BEE"/>
    <w:rsid w:val="00F32B0E"/>
    <w:rsid w:val="00F33DC4"/>
    <w:rsid w:val="00F3530D"/>
    <w:rsid w:val="00F35946"/>
    <w:rsid w:val="00F359C0"/>
    <w:rsid w:val="00F37DBE"/>
    <w:rsid w:val="00F421EA"/>
    <w:rsid w:val="00F42CBC"/>
    <w:rsid w:val="00F430AC"/>
    <w:rsid w:val="00F462D5"/>
    <w:rsid w:val="00F46975"/>
    <w:rsid w:val="00F477B9"/>
    <w:rsid w:val="00F53604"/>
    <w:rsid w:val="00F54A39"/>
    <w:rsid w:val="00F54B2D"/>
    <w:rsid w:val="00F54BBB"/>
    <w:rsid w:val="00F55625"/>
    <w:rsid w:val="00F55FAE"/>
    <w:rsid w:val="00F60171"/>
    <w:rsid w:val="00F6086F"/>
    <w:rsid w:val="00F613FA"/>
    <w:rsid w:val="00F61A56"/>
    <w:rsid w:val="00F6631F"/>
    <w:rsid w:val="00F72112"/>
    <w:rsid w:val="00F723D6"/>
    <w:rsid w:val="00F724AB"/>
    <w:rsid w:val="00F77E87"/>
    <w:rsid w:val="00F806A9"/>
    <w:rsid w:val="00F81620"/>
    <w:rsid w:val="00F8217F"/>
    <w:rsid w:val="00F83113"/>
    <w:rsid w:val="00F83C22"/>
    <w:rsid w:val="00F84521"/>
    <w:rsid w:val="00F87451"/>
    <w:rsid w:val="00F906AB"/>
    <w:rsid w:val="00F91766"/>
    <w:rsid w:val="00F91A6E"/>
    <w:rsid w:val="00F96B7D"/>
    <w:rsid w:val="00FA0537"/>
    <w:rsid w:val="00FA2351"/>
    <w:rsid w:val="00FA25EA"/>
    <w:rsid w:val="00FA2ECA"/>
    <w:rsid w:val="00FA2FA8"/>
    <w:rsid w:val="00FA65E5"/>
    <w:rsid w:val="00FA6A63"/>
    <w:rsid w:val="00FA7668"/>
    <w:rsid w:val="00FB1348"/>
    <w:rsid w:val="00FB1EA0"/>
    <w:rsid w:val="00FB2144"/>
    <w:rsid w:val="00FB2DA4"/>
    <w:rsid w:val="00FB45C2"/>
    <w:rsid w:val="00FB6B51"/>
    <w:rsid w:val="00FC01C3"/>
    <w:rsid w:val="00FC1E49"/>
    <w:rsid w:val="00FC2786"/>
    <w:rsid w:val="00FC36CB"/>
    <w:rsid w:val="00FC3779"/>
    <w:rsid w:val="00FC400D"/>
    <w:rsid w:val="00FC58AA"/>
    <w:rsid w:val="00FC7979"/>
    <w:rsid w:val="00FC7CE2"/>
    <w:rsid w:val="00FD1489"/>
    <w:rsid w:val="00FD15A5"/>
    <w:rsid w:val="00FD2169"/>
    <w:rsid w:val="00FD245E"/>
    <w:rsid w:val="00FD24D9"/>
    <w:rsid w:val="00FD2B4A"/>
    <w:rsid w:val="00FD43CA"/>
    <w:rsid w:val="00FD4B6C"/>
    <w:rsid w:val="00FD7C6C"/>
    <w:rsid w:val="00FD7E4F"/>
    <w:rsid w:val="00FE1CB9"/>
    <w:rsid w:val="00FE54A8"/>
    <w:rsid w:val="00FE6741"/>
    <w:rsid w:val="00FE6B1A"/>
    <w:rsid w:val="00FE7DF2"/>
    <w:rsid w:val="00FF06F9"/>
    <w:rsid w:val="00FF0FB4"/>
    <w:rsid w:val="00FF1A88"/>
    <w:rsid w:val="00FF22CA"/>
    <w:rsid w:val="00FF2B2A"/>
    <w:rsid w:val="00FF2B97"/>
    <w:rsid w:val="00FF30E0"/>
    <w:rsid w:val="00FF4286"/>
    <w:rsid w:val="00FF4EE6"/>
    <w:rsid w:val="00FF683E"/>
    <w:rsid w:val="01457619"/>
    <w:rsid w:val="01661257"/>
    <w:rsid w:val="02637963"/>
    <w:rsid w:val="0515605C"/>
    <w:rsid w:val="054343E0"/>
    <w:rsid w:val="05C24554"/>
    <w:rsid w:val="07731EDA"/>
    <w:rsid w:val="08522869"/>
    <w:rsid w:val="0BD7731A"/>
    <w:rsid w:val="0DAF4280"/>
    <w:rsid w:val="0DB71E67"/>
    <w:rsid w:val="10E55ACF"/>
    <w:rsid w:val="11A44431"/>
    <w:rsid w:val="11F37F96"/>
    <w:rsid w:val="12174B52"/>
    <w:rsid w:val="12414DD6"/>
    <w:rsid w:val="13E81089"/>
    <w:rsid w:val="15CF287D"/>
    <w:rsid w:val="1705578C"/>
    <w:rsid w:val="17F53384"/>
    <w:rsid w:val="186803F7"/>
    <w:rsid w:val="1ACB3879"/>
    <w:rsid w:val="1C6C4C76"/>
    <w:rsid w:val="1D1C4932"/>
    <w:rsid w:val="1D882DAE"/>
    <w:rsid w:val="1DD754DB"/>
    <w:rsid w:val="1F6B4003"/>
    <w:rsid w:val="1FB3426E"/>
    <w:rsid w:val="20034A7F"/>
    <w:rsid w:val="202411B1"/>
    <w:rsid w:val="25366070"/>
    <w:rsid w:val="269A0D64"/>
    <w:rsid w:val="29BB0599"/>
    <w:rsid w:val="29ED3AEB"/>
    <w:rsid w:val="2DE45570"/>
    <w:rsid w:val="313C69ED"/>
    <w:rsid w:val="32621F87"/>
    <w:rsid w:val="327B1FD4"/>
    <w:rsid w:val="32DB4E29"/>
    <w:rsid w:val="330E4215"/>
    <w:rsid w:val="33541EDA"/>
    <w:rsid w:val="336E0B04"/>
    <w:rsid w:val="341368C8"/>
    <w:rsid w:val="34D172B5"/>
    <w:rsid w:val="35795F07"/>
    <w:rsid w:val="36027BEB"/>
    <w:rsid w:val="3AAD0D3F"/>
    <w:rsid w:val="3ACF0F17"/>
    <w:rsid w:val="3B7D78EC"/>
    <w:rsid w:val="3C5736B1"/>
    <w:rsid w:val="3CBE1CC4"/>
    <w:rsid w:val="3F0B5D5A"/>
    <w:rsid w:val="3F910058"/>
    <w:rsid w:val="3FC15FD2"/>
    <w:rsid w:val="40175327"/>
    <w:rsid w:val="41E8056C"/>
    <w:rsid w:val="427B0BC2"/>
    <w:rsid w:val="42E400A5"/>
    <w:rsid w:val="446261A9"/>
    <w:rsid w:val="467839AC"/>
    <w:rsid w:val="46EC4B9E"/>
    <w:rsid w:val="479A722F"/>
    <w:rsid w:val="4C3D7715"/>
    <w:rsid w:val="506D51CB"/>
    <w:rsid w:val="51D03CEB"/>
    <w:rsid w:val="54A347BC"/>
    <w:rsid w:val="54BC2C19"/>
    <w:rsid w:val="56763EDE"/>
    <w:rsid w:val="58980A12"/>
    <w:rsid w:val="59EC2355"/>
    <w:rsid w:val="5A4068E4"/>
    <w:rsid w:val="5A89209A"/>
    <w:rsid w:val="5B820E32"/>
    <w:rsid w:val="5BB75762"/>
    <w:rsid w:val="5C327EAB"/>
    <w:rsid w:val="60E723C2"/>
    <w:rsid w:val="62506C62"/>
    <w:rsid w:val="647A6CAD"/>
    <w:rsid w:val="66811050"/>
    <w:rsid w:val="673A1384"/>
    <w:rsid w:val="68071A1D"/>
    <w:rsid w:val="68D22ECE"/>
    <w:rsid w:val="697A4423"/>
    <w:rsid w:val="69C04ABB"/>
    <w:rsid w:val="6ACE4D37"/>
    <w:rsid w:val="6B902479"/>
    <w:rsid w:val="6D762C34"/>
    <w:rsid w:val="6DD177DF"/>
    <w:rsid w:val="6F002B7A"/>
    <w:rsid w:val="70EF5FA9"/>
    <w:rsid w:val="721B32FD"/>
    <w:rsid w:val="728209EB"/>
    <w:rsid w:val="72D51F54"/>
    <w:rsid w:val="7396760B"/>
    <w:rsid w:val="74966354"/>
    <w:rsid w:val="76186FF1"/>
    <w:rsid w:val="77667C2A"/>
    <w:rsid w:val="7841078B"/>
    <w:rsid w:val="78453559"/>
    <w:rsid w:val="79C328BE"/>
    <w:rsid w:val="7AFD7D15"/>
    <w:rsid w:val="7B442686"/>
    <w:rsid w:val="7B686040"/>
    <w:rsid w:val="7D1F4C65"/>
    <w:rsid w:val="7DAE781A"/>
    <w:rsid w:val="7E163A80"/>
    <w:rsid w:val="7E5B031E"/>
    <w:rsid w:val="7E7561B2"/>
    <w:rsid w:val="7EC2551A"/>
    <w:rsid w:val="7FAF731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1" w:semiHidden="0" w:name="heading 1"/>
    <w:lsdException w:qFormat="1" w:unhideWhenUsed="0" w:uiPriority="9" w:semiHidden="0" w:name="heading 2"/>
    <w:lsdException w:qFormat="1" w:unhideWhenUsed="0" w:uiPriority="1"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99" w:name=""/>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szCs w:val="22"/>
      <w:lang w:val="en-US" w:eastAsia="zh-CN" w:bidi="ar-SA"/>
    </w:rPr>
  </w:style>
  <w:style w:type="paragraph" w:styleId="3">
    <w:name w:val="heading 1"/>
    <w:basedOn w:val="1"/>
    <w:next w:val="1"/>
    <w:link w:val="20"/>
    <w:qFormat/>
    <w:uiPriority w:val="1"/>
    <w:pPr>
      <w:autoSpaceDE w:val="0"/>
      <w:autoSpaceDN w:val="0"/>
      <w:adjustRightInd w:val="0"/>
      <w:spacing w:before="17"/>
      <w:ind w:left="1144"/>
      <w:jc w:val="left"/>
      <w:outlineLvl w:val="0"/>
    </w:pPr>
    <w:rPr>
      <w:rFonts w:ascii="黑体" w:hAnsi="Times New Roman" w:eastAsia="黑体"/>
      <w:b/>
      <w:bCs/>
      <w:kern w:val="0"/>
      <w:sz w:val="36"/>
      <w:szCs w:val="36"/>
    </w:rPr>
  </w:style>
  <w:style w:type="paragraph" w:styleId="4">
    <w:name w:val="heading 2"/>
    <w:basedOn w:val="1"/>
    <w:next w:val="1"/>
    <w:link w:val="21"/>
    <w:qFormat/>
    <w:uiPriority w:val="9"/>
    <w:pPr>
      <w:keepNext/>
      <w:keepLines/>
      <w:spacing w:before="260" w:after="260" w:line="416" w:lineRule="auto"/>
      <w:outlineLvl w:val="1"/>
    </w:pPr>
    <w:rPr>
      <w:rFonts w:ascii="Cambria" w:hAnsi="Cambria"/>
      <w:b/>
      <w:bCs/>
      <w:kern w:val="0"/>
      <w:sz w:val="32"/>
      <w:szCs w:val="32"/>
    </w:rPr>
  </w:style>
  <w:style w:type="paragraph" w:styleId="2">
    <w:name w:val="heading 3"/>
    <w:basedOn w:val="1"/>
    <w:next w:val="1"/>
    <w:link w:val="19"/>
    <w:qFormat/>
    <w:uiPriority w:val="1"/>
    <w:pPr>
      <w:autoSpaceDE w:val="0"/>
      <w:autoSpaceDN w:val="0"/>
      <w:adjustRightInd w:val="0"/>
      <w:spacing w:before="34"/>
      <w:ind w:left="120"/>
      <w:jc w:val="left"/>
      <w:outlineLvl w:val="2"/>
    </w:pPr>
    <w:rPr>
      <w:rFonts w:ascii="宋体" w:hAnsi="Times New Roman"/>
      <w:b/>
      <w:bCs/>
      <w:kern w:val="0"/>
      <w:sz w:val="20"/>
      <w:szCs w:val="21"/>
    </w:rPr>
  </w:style>
  <w:style w:type="character" w:default="1" w:styleId="15">
    <w:name w:val="Default Paragraph Font"/>
    <w:unhideWhenUsed/>
    <w:uiPriority w:val="1"/>
  </w:style>
  <w:style w:type="table" w:default="1" w:styleId="13">
    <w:name w:val="Normal Table"/>
    <w:unhideWhenUsed/>
    <w:uiPriority w:val="99"/>
    <w:tblPr>
      <w:tblStyle w:val="13"/>
      <w:tblCellMar>
        <w:top w:w="0" w:type="dxa"/>
        <w:left w:w="108" w:type="dxa"/>
        <w:bottom w:w="0" w:type="dxa"/>
        <w:right w:w="108" w:type="dxa"/>
      </w:tblCellMar>
    </w:tblPr>
  </w:style>
  <w:style w:type="paragraph" w:styleId="5">
    <w:name w:val="annotation text"/>
    <w:basedOn w:val="1"/>
    <w:link w:val="22"/>
    <w:unhideWhenUsed/>
    <w:uiPriority w:val="99"/>
    <w:pPr>
      <w:jc w:val="left"/>
    </w:pPr>
  </w:style>
  <w:style w:type="paragraph" w:styleId="6">
    <w:name w:val="Body Text"/>
    <w:basedOn w:val="1"/>
    <w:link w:val="23"/>
    <w:qFormat/>
    <w:uiPriority w:val="1"/>
    <w:pPr>
      <w:autoSpaceDE w:val="0"/>
      <w:autoSpaceDN w:val="0"/>
      <w:adjustRightInd w:val="0"/>
      <w:spacing w:before="162"/>
      <w:ind w:left="120"/>
      <w:jc w:val="left"/>
    </w:pPr>
    <w:rPr>
      <w:rFonts w:ascii="宋体" w:hAnsi="Times New Roman"/>
      <w:kern w:val="0"/>
      <w:sz w:val="20"/>
      <w:szCs w:val="21"/>
    </w:rPr>
  </w:style>
  <w:style w:type="paragraph" w:styleId="7">
    <w:name w:val="Date"/>
    <w:basedOn w:val="1"/>
    <w:next w:val="1"/>
    <w:link w:val="24"/>
    <w:unhideWhenUsed/>
    <w:uiPriority w:val="99"/>
    <w:pPr>
      <w:ind w:left="100" w:leftChars="2500"/>
    </w:pPr>
  </w:style>
  <w:style w:type="paragraph" w:styleId="8">
    <w:name w:val="Balloon Text"/>
    <w:basedOn w:val="1"/>
    <w:link w:val="25"/>
    <w:unhideWhenUsed/>
    <w:uiPriority w:val="99"/>
    <w:rPr>
      <w:kern w:val="0"/>
      <w:sz w:val="18"/>
      <w:szCs w:val="18"/>
    </w:rPr>
  </w:style>
  <w:style w:type="paragraph" w:styleId="9">
    <w:name w:val="footer"/>
    <w:basedOn w:val="1"/>
    <w:link w:val="26"/>
    <w:unhideWhenUsed/>
    <w:uiPriority w:val="99"/>
    <w:pPr>
      <w:tabs>
        <w:tab w:val="center" w:pos="4153"/>
        <w:tab w:val="right" w:pos="8306"/>
      </w:tabs>
      <w:snapToGrid w:val="0"/>
      <w:jc w:val="left"/>
    </w:pPr>
    <w:rPr>
      <w:kern w:val="0"/>
      <w:sz w:val="18"/>
      <w:szCs w:val="18"/>
    </w:rPr>
  </w:style>
  <w:style w:type="paragraph" w:styleId="10">
    <w:name w:val="header"/>
    <w:basedOn w:val="1"/>
    <w:link w:val="27"/>
    <w:unhideWhenUsed/>
    <w:uiPriority w:val="99"/>
    <w:pPr>
      <w:pBdr>
        <w:bottom w:val="single" w:color="auto" w:sz="6" w:space="1"/>
      </w:pBdr>
      <w:tabs>
        <w:tab w:val="center" w:pos="4153"/>
        <w:tab w:val="right" w:pos="8306"/>
      </w:tabs>
      <w:snapToGrid w:val="0"/>
      <w:jc w:val="center"/>
    </w:pPr>
    <w:rPr>
      <w:kern w:val="0"/>
      <w:sz w:val="18"/>
      <w:szCs w:val="18"/>
    </w:rPr>
  </w:style>
  <w:style w:type="paragraph" w:styleId="11">
    <w:name w:val="Normal (Web)"/>
    <w:basedOn w:val="1"/>
    <w:unhideWhenUsed/>
    <w:uiPriority w:val="99"/>
    <w:pPr>
      <w:widowControl/>
      <w:spacing w:before="100" w:beforeAutospacing="1" w:after="100" w:afterAutospacing="1"/>
      <w:jc w:val="left"/>
    </w:pPr>
    <w:rPr>
      <w:rFonts w:ascii="宋体" w:hAnsi="宋体" w:eastAsia="宋体" w:cs="宋体"/>
      <w:kern w:val="0"/>
      <w:sz w:val="24"/>
      <w:szCs w:val="24"/>
    </w:rPr>
  </w:style>
  <w:style w:type="paragraph" w:styleId="12">
    <w:name w:val="annotation subject"/>
    <w:basedOn w:val="5"/>
    <w:next w:val="5"/>
    <w:link w:val="28"/>
    <w:unhideWhenUsed/>
    <w:uiPriority w:val="99"/>
    <w:rPr>
      <w:b/>
      <w:bCs/>
    </w:rPr>
  </w:style>
  <w:style w:type="table" w:styleId="14">
    <w:name w:val="Table Grid"/>
    <w:basedOn w:val="13"/>
    <w:qFormat/>
    <w:uiPriority w:val="39"/>
    <w:tblPr>
      <w:tblStyle w:val="13"/>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qFormat/>
    <w:uiPriority w:val="22"/>
    <w:rPr>
      <w:b/>
      <w:bCs/>
    </w:rPr>
  </w:style>
  <w:style w:type="character" w:styleId="17">
    <w:name w:val="Hyperlink"/>
    <w:unhideWhenUsed/>
    <w:uiPriority w:val="99"/>
    <w:rPr>
      <w:color w:val="0000FF"/>
      <w:u w:val="single"/>
    </w:rPr>
  </w:style>
  <w:style w:type="character" w:styleId="18">
    <w:name w:val="annotation reference"/>
    <w:unhideWhenUsed/>
    <w:uiPriority w:val="99"/>
    <w:rPr>
      <w:sz w:val="21"/>
      <w:szCs w:val="21"/>
    </w:rPr>
  </w:style>
  <w:style w:type="character" w:customStyle="1" w:styleId="19">
    <w:name w:val="标题 3 字符"/>
    <w:link w:val="2"/>
    <w:uiPriority w:val="1"/>
    <w:rPr>
      <w:rFonts w:ascii="宋体" w:hAnsi="Times New Roman" w:eastAsia="宋体" w:cs="宋体"/>
      <w:b/>
      <w:bCs/>
      <w:kern w:val="0"/>
      <w:szCs w:val="21"/>
    </w:rPr>
  </w:style>
  <w:style w:type="character" w:customStyle="1" w:styleId="20">
    <w:name w:val="标题 1 字符"/>
    <w:link w:val="3"/>
    <w:uiPriority w:val="1"/>
    <w:rPr>
      <w:rFonts w:ascii="黑体" w:hAnsi="Times New Roman" w:eastAsia="黑体" w:cs="黑体"/>
      <w:b/>
      <w:bCs/>
      <w:kern w:val="0"/>
      <w:sz w:val="36"/>
      <w:szCs w:val="36"/>
    </w:rPr>
  </w:style>
  <w:style w:type="character" w:customStyle="1" w:styleId="21">
    <w:name w:val="标题 2 字符"/>
    <w:link w:val="4"/>
    <w:uiPriority w:val="9"/>
    <w:rPr>
      <w:rFonts w:ascii="Cambria" w:hAnsi="Cambria" w:eastAsia="宋体" w:cs="Times New Roman"/>
      <w:b/>
      <w:bCs/>
      <w:sz w:val="32"/>
      <w:szCs w:val="32"/>
    </w:rPr>
  </w:style>
  <w:style w:type="character" w:customStyle="1" w:styleId="22">
    <w:name w:val="批注文字 字符"/>
    <w:link w:val="5"/>
    <w:uiPriority w:val="99"/>
    <w:rPr>
      <w:kern w:val="2"/>
      <w:sz w:val="21"/>
      <w:szCs w:val="22"/>
    </w:rPr>
  </w:style>
  <w:style w:type="character" w:customStyle="1" w:styleId="23">
    <w:name w:val="正文文本 字符"/>
    <w:link w:val="6"/>
    <w:uiPriority w:val="1"/>
    <w:rPr>
      <w:rFonts w:ascii="宋体" w:hAnsi="Times New Roman" w:eastAsia="宋体" w:cs="宋体"/>
      <w:kern w:val="0"/>
      <w:szCs w:val="21"/>
    </w:rPr>
  </w:style>
  <w:style w:type="character" w:customStyle="1" w:styleId="24">
    <w:name w:val="日期 字符"/>
    <w:basedOn w:val="15"/>
    <w:link w:val="7"/>
    <w:semiHidden/>
    <w:uiPriority w:val="99"/>
  </w:style>
  <w:style w:type="character" w:customStyle="1" w:styleId="25">
    <w:name w:val="批注框文本 字符"/>
    <w:link w:val="8"/>
    <w:semiHidden/>
    <w:uiPriority w:val="99"/>
    <w:rPr>
      <w:sz w:val="18"/>
      <w:szCs w:val="18"/>
    </w:rPr>
  </w:style>
  <w:style w:type="character" w:customStyle="1" w:styleId="26">
    <w:name w:val="页脚 字符"/>
    <w:link w:val="9"/>
    <w:uiPriority w:val="99"/>
    <w:rPr>
      <w:sz w:val="18"/>
      <w:szCs w:val="18"/>
    </w:rPr>
  </w:style>
  <w:style w:type="character" w:customStyle="1" w:styleId="27">
    <w:name w:val="页眉 字符"/>
    <w:link w:val="10"/>
    <w:uiPriority w:val="99"/>
    <w:rPr>
      <w:sz w:val="18"/>
      <w:szCs w:val="18"/>
    </w:rPr>
  </w:style>
  <w:style w:type="character" w:customStyle="1" w:styleId="28">
    <w:name w:val="批注主题 字符"/>
    <w:link w:val="12"/>
    <w:semiHidden/>
    <w:uiPriority w:val="99"/>
    <w:rPr>
      <w:b/>
      <w:bCs/>
      <w:kern w:val="2"/>
      <w:sz w:val="21"/>
      <w:szCs w:val="22"/>
    </w:rPr>
  </w:style>
  <w:style w:type="paragraph" w:customStyle="1" w:styleId="29">
    <w:name w:val="Table Paragraph"/>
    <w:basedOn w:val="1"/>
    <w:qFormat/>
    <w:uiPriority w:val="1"/>
    <w:pPr>
      <w:autoSpaceDE w:val="0"/>
      <w:autoSpaceDN w:val="0"/>
      <w:adjustRightInd w:val="0"/>
      <w:jc w:val="left"/>
    </w:pPr>
    <w:rPr>
      <w:rFonts w:ascii="Times New Roman" w:hAnsi="Times New Roman" w:cs="Times New Roman"/>
      <w:kern w:val="0"/>
      <w:sz w:val="24"/>
      <w:szCs w:val="24"/>
    </w:rPr>
  </w:style>
  <w:style w:type="paragraph" w:styleId="30">
    <w:name w:val=""/>
    <w:semiHidden/>
    <w:uiPriority w:val="99"/>
    <w:rPr>
      <w:kern w:val="2"/>
      <w:sz w:val="21"/>
      <w:szCs w:val="22"/>
      <w:lang w:val="en-US" w:eastAsia="zh-CN" w:bidi="ar-SA"/>
    </w:rPr>
  </w:style>
  <w:style w:type="paragraph" w:customStyle="1" w:styleId="31">
    <w:name w:val="Default"/>
    <w:uiPriority w:val="0"/>
    <w:pPr>
      <w:widowControl w:val="0"/>
      <w:autoSpaceDE w:val="0"/>
      <w:autoSpaceDN w:val="0"/>
      <w:adjustRightInd w:val="0"/>
    </w:pPr>
    <w:rPr>
      <w:rFonts w:ascii="宋体" w:hAnsi="宋体" w:cs="宋体"/>
      <w:color w:val="000000"/>
      <w:sz w:val="24"/>
      <w:szCs w:val="24"/>
      <w:lang w:val="en-US" w:eastAsia="zh-CN" w:bidi="ar-SA"/>
    </w:rPr>
  </w:style>
  <w:style w:type="paragraph" w:styleId="32">
    <w:name w:val="List Paragraph"/>
    <w:basedOn w:val="1"/>
    <w:qFormat/>
    <w:uiPriority w:val="72"/>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187</Words>
  <Characters>1066</Characters>
  <Lines>8</Lines>
  <Paragraphs>2</Paragraphs>
  <TotalTime>5</TotalTime>
  <ScaleCrop>false</ScaleCrop>
  <LinksUpToDate>false</LinksUpToDate>
  <CharactersWithSpaces>1251</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2023-09-19T12:29:00Z</dcterms:created>
  <dc:creator>JSYH</dc:creator>
  <cp:lastModifiedBy>jsyh</cp:lastModifiedBy>
  <cp:lastPrinted>2022-02-15T07:30:00Z</cp:lastPrinted>
  <dcterms:modified xsi:type="dcterms:W3CDTF">2025-03-20T10:20:43Z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ICV">
    <vt:lpwstr>F7A0692D6D434928A0CE3F1C772D25C1_12</vt:lpwstr>
  </property>
</Properties>
</file>