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adjustRightInd w:val="0"/>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华夏理财固定收益纯债最短持有</w:t>
      </w:r>
      <w:r>
        <w:rPr>
          <w:rFonts w:hint="eastAsia" w:eastAsia="黑体"/>
          <w:bCs/>
          <w:kern w:val="2"/>
          <w:sz w:val="36"/>
          <w:szCs w:val="36"/>
          <w:lang w:val="en-US" w:eastAsia="zh-CN"/>
        </w:rPr>
        <w:t>7</w:t>
      </w:r>
      <w:r>
        <w:rPr>
          <w:rFonts w:hint="eastAsia" w:eastAsia="黑体"/>
          <w:bCs/>
          <w:kern w:val="2"/>
          <w:sz w:val="36"/>
          <w:szCs w:val="36"/>
        </w:rPr>
        <w:t>天理财产品</w:t>
      </w:r>
      <w:r>
        <w:rPr>
          <w:rFonts w:hint="eastAsia" w:eastAsia="黑体"/>
          <w:bCs/>
          <w:kern w:val="2"/>
          <w:sz w:val="36"/>
          <w:szCs w:val="36"/>
          <w:lang w:val="en-US" w:eastAsia="zh-CN"/>
        </w:rPr>
        <w:t>H</w:t>
      </w:r>
      <w:r>
        <w:rPr>
          <w:rFonts w:hint="eastAsia" w:eastAsia="黑体"/>
          <w:bCs/>
          <w:kern w:val="2"/>
          <w:sz w:val="36"/>
          <w:szCs w:val="36"/>
        </w:rPr>
        <w:t>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华夏理财固定收益纯债最短持有</w:t>
            </w:r>
            <w:r>
              <w:rPr>
                <w:rFonts w:hint="eastAsia" w:ascii="仿宋" w:hAnsi="仿宋" w:eastAsia="仿宋"/>
                <w:b/>
                <w:bCs/>
                <w:szCs w:val="21"/>
                <w:lang w:val="en-US" w:eastAsia="zh-CN"/>
              </w:rPr>
              <w:t>7</w:t>
            </w:r>
            <w:r>
              <w:rPr>
                <w:rFonts w:hint="eastAsia" w:ascii="仿宋" w:hAnsi="仿宋" w:eastAsia="仿宋"/>
                <w:b/>
                <w:bCs/>
                <w:szCs w:val="21"/>
              </w:rPr>
              <w:t>天理财产品</w:t>
            </w:r>
            <w:r>
              <w:rPr>
                <w:rFonts w:hint="eastAsia" w:ascii="仿宋" w:hAnsi="仿宋" w:eastAsia="仿宋"/>
                <w:b/>
                <w:bCs/>
                <w:szCs w:val="21"/>
                <w:lang w:val="en-US" w:eastAsia="zh-CN"/>
              </w:rPr>
              <w:t>H</w:t>
            </w:r>
            <w:r>
              <w:rPr>
                <w:rFonts w:hint="eastAsia" w:ascii="仿宋" w:hAnsi="仿宋" w:eastAsia="仿宋"/>
                <w:b/>
                <w:bCs/>
                <w:szCs w:val="21"/>
              </w:rPr>
              <w:t>款</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份额简称：“华夏理财固收纯债最短持有</w:t>
            </w:r>
            <w:r>
              <w:rPr>
                <w:rFonts w:hint="eastAsia" w:ascii="仿宋" w:hAnsi="仿宋" w:eastAsia="仿宋"/>
                <w:b/>
                <w:bCs/>
                <w:szCs w:val="21"/>
                <w:lang w:val="en-US" w:eastAsia="zh-CN"/>
              </w:rPr>
              <w:t>7</w:t>
            </w:r>
            <w:r>
              <w:rPr>
                <w:rFonts w:hint="eastAsia" w:ascii="仿宋" w:hAnsi="仿宋" w:eastAsia="仿宋"/>
                <w:b/>
                <w:bCs/>
                <w:szCs w:val="21"/>
              </w:rPr>
              <w:t>天</w:t>
            </w:r>
            <w:r>
              <w:rPr>
                <w:rFonts w:hint="eastAsia" w:ascii="仿宋" w:hAnsi="仿宋" w:eastAsia="仿宋"/>
                <w:b/>
                <w:bCs/>
                <w:szCs w:val="21"/>
                <w:lang w:val="en-US" w:eastAsia="zh-CN"/>
              </w:rPr>
              <w:t>H</w:t>
            </w:r>
            <w:r>
              <w:rPr>
                <w:rFonts w:hint="eastAsia" w:ascii="仿宋" w:hAnsi="仿宋" w:eastAsia="仿宋"/>
                <w:b/>
                <w:bCs/>
                <w:szCs w:val="21"/>
              </w:rPr>
              <w:t>款</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份额简称：“华夏理财固收纯债最短持有</w:t>
            </w:r>
            <w:r>
              <w:rPr>
                <w:rFonts w:hint="eastAsia" w:ascii="仿宋" w:hAnsi="仿宋" w:eastAsia="仿宋"/>
                <w:b/>
                <w:bCs/>
                <w:szCs w:val="21"/>
                <w:lang w:val="en-US" w:eastAsia="zh-CN"/>
              </w:rPr>
              <w:t>7</w:t>
            </w:r>
            <w:r>
              <w:rPr>
                <w:rFonts w:hint="eastAsia" w:ascii="仿宋" w:hAnsi="仿宋" w:eastAsia="仿宋"/>
                <w:b/>
                <w:bCs/>
                <w:szCs w:val="21"/>
              </w:rPr>
              <w:t>天</w:t>
            </w:r>
            <w:r>
              <w:rPr>
                <w:rFonts w:hint="eastAsia" w:ascii="仿宋" w:hAnsi="仿宋" w:eastAsia="仿宋"/>
                <w:b/>
                <w:bCs/>
                <w:szCs w:val="21"/>
                <w:lang w:val="en-US" w:eastAsia="zh-CN"/>
              </w:rPr>
              <w:t>H</w:t>
            </w:r>
            <w:r>
              <w:rPr>
                <w:rFonts w:hint="eastAsia" w:ascii="仿宋" w:hAnsi="仿宋" w:eastAsia="仿宋"/>
                <w:b/>
                <w:bCs/>
                <w:szCs w:val="21"/>
              </w:rPr>
              <w:t>款</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C</w:t>
            </w:r>
            <w:r>
              <w:rPr>
                <w:rFonts w:hint="eastAsia" w:ascii="仿宋" w:hAnsi="仿宋" w:eastAsia="仿宋"/>
                <w:b/>
                <w:bCs/>
                <w:szCs w:val="21"/>
              </w:rPr>
              <w:t>份额简称：“华夏理财固收纯债最短持有</w:t>
            </w:r>
            <w:r>
              <w:rPr>
                <w:rFonts w:hint="eastAsia" w:ascii="仿宋" w:hAnsi="仿宋" w:eastAsia="仿宋"/>
                <w:b/>
                <w:bCs/>
                <w:szCs w:val="21"/>
                <w:lang w:val="en-US" w:eastAsia="zh-CN"/>
              </w:rPr>
              <w:t>7</w:t>
            </w:r>
            <w:r>
              <w:rPr>
                <w:rFonts w:hint="eastAsia" w:ascii="仿宋" w:hAnsi="仿宋" w:eastAsia="仿宋"/>
                <w:b/>
                <w:bCs/>
                <w:szCs w:val="21"/>
              </w:rPr>
              <w:t>天</w:t>
            </w:r>
            <w:r>
              <w:rPr>
                <w:rFonts w:hint="eastAsia" w:ascii="仿宋" w:hAnsi="仿宋" w:eastAsia="仿宋"/>
                <w:b/>
                <w:bCs/>
                <w:szCs w:val="21"/>
                <w:lang w:val="en-US" w:eastAsia="zh-CN"/>
              </w:rPr>
              <w:t>H</w:t>
            </w:r>
            <w:r>
              <w:rPr>
                <w:rFonts w:hint="eastAsia" w:ascii="仿宋" w:hAnsi="仿宋" w:eastAsia="仿宋"/>
                <w:b/>
                <w:bCs/>
                <w:szCs w:val="21"/>
              </w:rPr>
              <w:t>款</w:t>
            </w:r>
            <w:r>
              <w:rPr>
                <w:rFonts w:hint="eastAsia" w:ascii="仿宋" w:hAnsi="仿宋" w:eastAsia="仿宋"/>
                <w:b/>
                <w:bCs/>
                <w:szCs w:val="21"/>
                <w:lang w:val="en-US" w:eastAsia="zh-CN"/>
              </w:rPr>
              <w:t>C（幸福金桂）</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S</w:t>
            </w:r>
            <w:r>
              <w:rPr>
                <w:rFonts w:hint="eastAsia" w:ascii="仿宋" w:hAnsi="仿宋" w:eastAsia="仿宋"/>
                <w:b/>
                <w:bCs/>
                <w:szCs w:val="21"/>
              </w:rPr>
              <w:t>份额简称：“华夏理财固收纯债最短持有</w:t>
            </w:r>
            <w:r>
              <w:rPr>
                <w:rFonts w:hint="eastAsia" w:ascii="仿宋" w:hAnsi="仿宋" w:eastAsia="仿宋"/>
                <w:b/>
                <w:bCs/>
                <w:szCs w:val="21"/>
                <w:lang w:val="en-US" w:eastAsia="zh-CN"/>
              </w:rPr>
              <w:t>7</w:t>
            </w:r>
            <w:r>
              <w:rPr>
                <w:rFonts w:hint="eastAsia" w:ascii="仿宋" w:hAnsi="仿宋" w:eastAsia="仿宋"/>
                <w:b/>
                <w:bCs/>
                <w:szCs w:val="21"/>
              </w:rPr>
              <w:t>天</w:t>
            </w:r>
            <w:r>
              <w:rPr>
                <w:rFonts w:hint="eastAsia" w:ascii="仿宋" w:hAnsi="仿宋" w:eastAsia="仿宋"/>
                <w:b/>
                <w:bCs/>
                <w:szCs w:val="21"/>
                <w:lang w:val="en-US" w:eastAsia="zh-CN"/>
              </w:rPr>
              <w:t>H</w:t>
            </w:r>
            <w:r>
              <w:rPr>
                <w:rFonts w:hint="eastAsia" w:ascii="仿宋" w:hAnsi="仿宋" w:eastAsia="仿宋"/>
                <w:b/>
                <w:bCs/>
                <w:szCs w:val="21"/>
              </w:rPr>
              <w:t>款</w:t>
            </w:r>
            <w:r>
              <w:rPr>
                <w:rFonts w:hint="eastAsia" w:ascii="仿宋" w:hAnsi="仿宋" w:eastAsia="仿宋"/>
                <w:b/>
                <w:bCs/>
                <w:szCs w:val="21"/>
                <w:lang w:val="en-US" w:eastAsia="zh-CN"/>
              </w:rPr>
              <w:t>S</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1150</w:t>
            </w:r>
            <w:r>
              <w:rPr>
                <w:rFonts w:hint="eastAsia" w:ascii="仿宋" w:hAnsi="仿宋" w:eastAsia="仿宋"/>
                <w:bCs/>
                <w:szCs w:val="21"/>
                <w:highlight w:val="none"/>
                <w:lang w:val="en-US" w:eastAsia="zh-CN"/>
              </w:rPr>
              <w:t>03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w:t>
            </w:r>
            <w:r>
              <w:rPr>
                <w:rFonts w:hint="eastAsia" w:ascii="仿宋" w:hAnsi="仿宋" w:eastAsia="仿宋"/>
                <w:bCs/>
                <w:szCs w:val="21"/>
                <w:highlight w:val="none"/>
              </w:rPr>
              <w:t>份额：</w:t>
            </w: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1150</w:t>
            </w:r>
            <w:r>
              <w:rPr>
                <w:rFonts w:hint="eastAsia" w:ascii="仿宋" w:hAnsi="仿宋" w:eastAsia="仿宋"/>
                <w:bCs/>
                <w:szCs w:val="21"/>
                <w:highlight w:val="none"/>
                <w:lang w:val="en-US" w:eastAsia="zh-CN"/>
              </w:rPr>
              <w:t>03</w:t>
            </w:r>
            <w:r>
              <w:rPr>
                <w:rFonts w:hint="eastAsia" w:ascii="仿宋" w:hAnsi="仿宋" w:eastAsia="仿宋"/>
                <w:szCs w:val="21"/>
                <w:highlight w:val="none"/>
                <w:lang w:val="en-US" w:eastAsia="zh-CN"/>
              </w:rPr>
              <w:t>A</w:t>
            </w:r>
          </w:p>
          <w:p>
            <w:pPr>
              <w:keepNext/>
              <w:adjustRightInd w:val="0"/>
              <w:snapToGrid w:val="0"/>
              <w:spacing w:line="30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w:t>
            </w:r>
            <w:r>
              <w:rPr>
                <w:rFonts w:hint="eastAsia" w:ascii="仿宋" w:hAnsi="仿宋" w:eastAsia="仿宋"/>
                <w:bCs/>
                <w:szCs w:val="21"/>
                <w:highlight w:val="none"/>
              </w:rPr>
              <w:t>份额：</w:t>
            </w: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1150</w:t>
            </w:r>
            <w:r>
              <w:rPr>
                <w:rFonts w:hint="eastAsia" w:ascii="仿宋" w:hAnsi="仿宋" w:eastAsia="仿宋"/>
                <w:bCs/>
                <w:szCs w:val="21"/>
                <w:highlight w:val="none"/>
                <w:lang w:val="en-US" w:eastAsia="zh-CN"/>
              </w:rPr>
              <w:t>03</w:t>
            </w:r>
            <w:r>
              <w:rPr>
                <w:rFonts w:hint="eastAsia" w:ascii="仿宋" w:hAnsi="仿宋" w:eastAsia="仿宋"/>
                <w:szCs w:val="21"/>
                <w:highlight w:val="none"/>
                <w:lang w:val="en-US" w:eastAsia="zh-CN"/>
              </w:rPr>
              <w:t>B</w:t>
            </w:r>
          </w:p>
          <w:p>
            <w:pPr>
              <w:keepNext/>
              <w:adjustRightInd w:val="0"/>
              <w:snapToGrid w:val="0"/>
              <w:spacing w:line="30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w:t>
            </w:r>
            <w:r>
              <w:rPr>
                <w:rFonts w:hint="eastAsia" w:ascii="仿宋" w:hAnsi="仿宋" w:eastAsia="仿宋"/>
                <w:bCs/>
                <w:szCs w:val="21"/>
                <w:highlight w:val="none"/>
              </w:rPr>
              <w:t>份额：</w:t>
            </w: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1150</w:t>
            </w:r>
            <w:r>
              <w:rPr>
                <w:rFonts w:hint="eastAsia" w:ascii="仿宋" w:hAnsi="仿宋" w:eastAsia="仿宋"/>
                <w:bCs/>
                <w:szCs w:val="21"/>
                <w:highlight w:val="none"/>
                <w:lang w:val="en-US" w:eastAsia="zh-CN"/>
              </w:rPr>
              <w:t>03</w:t>
            </w:r>
            <w:r>
              <w:rPr>
                <w:rFonts w:hint="eastAsia" w:ascii="仿宋" w:hAnsi="仿宋" w:eastAsia="仿宋"/>
                <w:szCs w:val="21"/>
                <w:highlight w:val="none"/>
                <w:lang w:val="en-US" w:eastAsia="zh-CN"/>
              </w:rPr>
              <w:t>C</w:t>
            </w:r>
          </w:p>
          <w:p>
            <w:pPr>
              <w:keepNext/>
              <w:adjustRightInd w:val="0"/>
              <w:snapToGrid w:val="0"/>
              <w:spacing w:line="30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S</w:t>
            </w:r>
            <w:r>
              <w:rPr>
                <w:rFonts w:hint="eastAsia" w:ascii="仿宋" w:hAnsi="仿宋" w:eastAsia="仿宋"/>
                <w:bCs/>
                <w:szCs w:val="21"/>
                <w:highlight w:val="none"/>
              </w:rPr>
              <w:t>份额：</w:t>
            </w: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1150</w:t>
            </w:r>
            <w:r>
              <w:rPr>
                <w:rFonts w:hint="eastAsia" w:ascii="仿宋" w:hAnsi="仿宋" w:eastAsia="仿宋"/>
                <w:bCs/>
                <w:szCs w:val="21"/>
                <w:highlight w:val="none"/>
                <w:lang w:val="en-US" w:eastAsia="zh-CN"/>
              </w:rPr>
              <w:t>03</w:t>
            </w:r>
            <w:r>
              <w:rPr>
                <w:rFonts w:hint="eastAsia" w:ascii="仿宋" w:hAnsi="仿宋" w:eastAsia="仿宋"/>
                <w:szCs w:val="21"/>
                <w:highlight w:val="none"/>
                <w:lang w:val="en-US" w:eastAsia="zh-CN"/>
              </w:rPr>
              <w:t>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ascii="仿宋" w:hAnsi="仿宋" w:eastAsia="仿宋"/>
                <w:bCs/>
                <w:szCs w:val="21"/>
                <w:highlight w:val="none"/>
              </w:rPr>
              <w:t>Z700392</w:t>
            </w:r>
            <w:r>
              <w:rPr>
                <w:rFonts w:hint="eastAsia" w:ascii="仿宋" w:hAnsi="仿宋" w:eastAsia="仿宋"/>
                <w:bCs/>
                <w:szCs w:val="21"/>
                <w:highlight w:val="none"/>
                <w:lang w:val="en-US" w:eastAsia="zh-CN"/>
              </w:rPr>
              <w:t>4</w:t>
            </w:r>
            <w:r>
              <w:rPr>
                <w:rFonts w:ascii="仿宋" w:hAnsi="仿宋" w:eastAsia="仿宋"/>
                <w:bCs/>
                <w:szCs w:val="21"/>
                <w:highlight w:val="none"/>
              </w:rPr>
              <w:t>000</w:t>
            </w:r>
            <w:r>
              <w:rPr>
                <w:rFonts w:hint="eastAsia" w:ascii="仿宋" w:hAnsi="仿宋" w:eastAsia="仿宋"/>
                <w:bCs/>
                <w:szCs w:val="21"/>
                <w:highlight w:val="none"/>
                <w:lang w:val="en-US" w:eastAsia="zh-CN"/>
              </w:rPr>
              <w:t>126</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color w:val="000000"/>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50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50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B</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65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65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C</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55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55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S</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35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35</w:t>
            </w:r>
            <w:r>
              <w:rPr>
                <w:rFonts w:ascii="仿宋" w:hAnsi="仿宋" w:eastAsia="仿宋" w:cs="Cambria"/>
                <w:bCs/>
                <w:szCs w:val="21"/>
              </w:rPr>
              <w:t>%</w:t>
            </w:r>
            <w:r>
              <w:rPr>
                <w:rFonts w:hint="eastAsia" w:ascii="仿宋" w:hAnsi="仿宋" w:eastAsia="仿宋" w:cs="Cambria"/>
                <w:bCs/>
                <w:szCs w:val="21"/>
              </w:rPr>
              <w:t>（年化）。产品全部投资于存款、债券等固定收益类资产，参考目标资产当前收益情况，结合低波动类资产组合配置策略并扣除各项费用后，综合测算得出上述业绩比较基准。</w:t>
            </w:r>
            <w:r>
              <w:rPr>
                <w:rFonts w:hint="eastAsia" w:ascii="仿宋" w:hAnsi="仿宋" w:eastAsia="仿宋"/>
                <w:bCs/>
                <w:color w:val="000000"/>
                <w:szCs w:val="21"/>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7</w:t>
            </w:r>
            <w:r>
              <w:rPr>
                <w:rFonts w:hint="eastAsia" w:ascii="仿宋" w:hAnsi="仿宋" w:eastAsia="仿宋"/>
                <w:bCs/>
                <w:szCs w:val="21"/>
              </w:rPr>
              <w:t>日－202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w:t>
            </w:r>
            <w:r>
              <w:rPr>
                <w:rFonts w:hint="eastAsia" w:ascii="仿宋" w:hAnsi="仿宋" w:eastAsia="仿宋"/>
                <w:bCs/>
                <w:szCs w:val="21"/>
                <w:lang w:val="en-US" w:eastAsia="zh-CN"/>
              </w:rPr>
              <w:t>5</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C</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S</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w:t>
            </w: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cs="Cambria"/>
                <w:bCs/>
                <w:szCs w:val="21"/>
                <w:lang w:val="en-US" w:eastAsia="zh-CN"/>
              </w:rPr>
              <w:t>C</w:t>
            </w:r>
            <w:r>
              <w:rPr>
                <w:rFonts w:hint="eastAsia" w:ascii="仿宋" w:hAnsi="仿宋" w:eastAsia="仿宋" w:cs="Cambria"/>
                <w:bCs/>
                <w:szCs w:val="21"/>
              </w:rPr>
              <w:t>份额：</w:t>
            </w: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cs="Cambria"/>
                <w:bCs/>
                <w:szCs w:val="21"/>
                <w:lang w:val="en-US" w:eastAsia="zh-CN"/>
              </w:rPr>
              <w:t>S</w:t>
            </w:r>
            <w:r>
              <w:rPr>
                <w:rFonts w:hint="eastAsia" w:ascii="仿宋" w:hAnsi="仿宋" w:eastAsia="仿宋" w:cs="Cambria"/>
                <w:bCs/>
                <w:szCs w:val="21"/>
              </w:rPr>
              <w:t>份额：</w:t>
            </w: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ascii="仿宋" w:hAnsi="仿宋" w:eastAsia="仿宋"/>
                <w:u w:val="single"/>
              </w:rPr>
              <w:t>9</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hint="eastAsia" w:ascii="仿宋" w:hAnsi="仿宋" w:eastAsia="仿宋"/>
                <w:bCs/>
                <w:szCs w:val="21"/>
                <w:u w:val="single"/>
                <w:lang w:val="en-US" w:eastAsia="zh-CN"/>
              </w:rPr>
              <w:t xml:space="preserve">7 </w:t>
            </w:r>
            <w:r>
              <w:rPr>
                <w:rFonts w:hint="eastAsia" w:ascii="仿宋" w:hAnsi="仿宋" w:eastAsia="仿宋"/>
                <w:bCs/>
                <w:szCs w:val="21"/>
                <w:u w:val="single"/>
              </w:rPr>
              <w:t>个自然日，对投资者的每笔认/申购份额设置最短持有期限，即每笔认购份额从产品成立日（含）或每笔申购份额从申购申请确认日（含）起</w:t>
            </w:r>
            <w:r>
              <w:rPr>
                <w:rFonts w:hint="eastAsia" w:ascii="仿宋" w:hAnsi="仿宋" w:eastAsia="仿宋"/>
                <w:bCs/>
                <w:szCs w:val="21"/>
                <w:u w:val="single"/>
                <w:lang w:val="en-US" w:eastAsia="zh-CN"/>
              </w:rPr>
              <w:t xml:space="preserve"> 7 </w:t>
            </w:r>
            <w:r>
              <w:rPr>
                <w:rFonts w:hint="eastAsia" w:ascii="仿宋" w:hAnsi="仿宋" w:eastAsia="仿宋"/>
                <w:bCs/>
                <w:szCs w:val="21"/>
                <w:u w:val="single"/>
              </w:rPr>
              <w:t>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ascii="仿宋" w:hAnsi="仿宋" w:eastAsia="仿宋"/>
                <w:b/>
                <w:bCs w:val="0"/>
                <w:szCs w:val="21"/>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ascii="仿宋" w:hAnsi="仿宋" w:eastAsia="仿宋"/>
                <w:b/>
                <w:bCs w:val="0"/>
                <w:szCs w:val="21"/>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  ；E为计算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A</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B</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C</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S</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F=E×【各</w:t>
            </w:r>
            <w:r>
              <w:rPr>
                <w:rFonts w:ascii="仿宋" w:hAnsi="仿宋" w:eastAsia="仿宋"/>
                <w:b/>
                <w:bCs w:val="0"/>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F为各份额销售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15</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15</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rPr>
              <w:t>1</w:t>
            </w:r>
            <w:r>
              <w:rPr>
                <w:rFonts w:hint="eastAsia" w:ascii="仿宋" w:hAnsi="仿宋" w:eastAsia="仿宋"/>
                <w:bCs/>
                <w:szCs w:val="21"/>
                <w:u w:val="single"/>
                <w:lang w:val="en-US" w:eastAsia="zh-CN"/>
              </w:rPr>
              <w:t>,</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类资产</w:t>
      </w:r>
      <w:r>
        <w:rPr>
          <w:rFonts w:hint="eastAsia" w:ascii="仿宋" w:hAnsi="仿宋" w:eastAsia="仿宋" w:cs="宋体"/>
          <w:color w:val="000000"/>
          <w:kern w:val="0"/>
          <w:sz w:val="24"/>
        </w:rPr>
        <w:t>及其他符合监管要求的固定收益类金融工具。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884"/>
        <w:gridCol w:w="5179"/>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货币市场</w:t>
            </w:r>
            <w:r>
              <w:rPr>
                <w:rFonts w:hint="eastAsia" w:eastAsia="仿宋"/>
                <w:color w:val="000000"/>
                <w:kern w:val="0"/>
                <w:sz w:val="24"/>
                <w:lang w:val="en-US" w:eastAsia="zh-CN"/>
              </w:rPr>
              <w:t>工具</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bl>
    <w:p>
      <w:pPr>
        <w:pStyle w:val="1"/>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pStyle w:val="1"/>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微软简仿宋" w:hAnsi="微软简仿宋" w:eastAsia="微软简仿宋"/>
          <w:bCs/>
          <w:szCs w:val="21"/>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1"/>
        </w:numPr>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本产品特有风险说明</w:t>
      </w:r>
    </w:p>
    <w:p>
      <w:pPr>
        <w:pStyle w:val="22"/>
        <w:numPr>
          <w:ilvl w:val="0"/>
          <w:numId w:val="0"/>
        </w:numPr>
        <w:snapToGrid w:val="0"/>
        <w:spacing w:beforeLines="0" w:afterLines="0" w:line="276" w:lineRule="auto"/>
        <w:ind w:firstLine="0" w:firstLineChars="0"/>
        <w:contextualSpacing/>
        <w:jc w:val="both"/>
        <w:rPr>
          <w:rFonts w:hint="eastAsia" w:ascii="Times New Roman" w:eastAsia="黑体" w:cs="Times New Roman"/>
          <w:b/>
        </w:rPr>
      </w:pPr>
      <w:r>
        <w:rPr>
          <w:rFonts w:hint="eastAsia" w:ascii="Times New Roman" w:eastAsia="黑体" w:cs="Times New Roman"/>
          <w:b/>
          <w:lang w:val="en-US" w:eastAsia="zh-CN"/>
        </w:rPr>
        <w:t xml:space="preserve">    </w:t>
      </w: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pStyle w:val="1"/>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24115003A</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7天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2127baf2"/>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2127baf2"/>
        <w:numPr>
          <w:ins w:id="0" w:author="张晓华" w:date="2021-07-12T15:01:00Z"/>
        </w:numPr>
        <w:spacing w:line="360" w:lineRule="exact"/>
        <w:jc w:val="left"/>
        <w:rPr>
          <w:rFonts w:hint="eastAsia"/>
        </w:rPr>
      </w:pPr>
    </w:p>
    <w:p w14:paraId="4DE92349" w14:textId="77777777" w:rsidR="00000000" w:rsidRDefault="00000000">
      <w:pPr>
        <w:pStyle w:val="2127baf2"/>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2127baf2"/>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2127baf2"/>
        <w:spacing w:line="360" w:lineRule="exact"/>
        <w:rPr>
          <w:rFonts w:ascii="微软简标宋" w:eastAsia="微软简标宋" w:hAnsi="宋体" w:cs="宋体" w:hint="eastAsia"/>
          <w:sz w:val="24"/>
        </w:rPr>
      </w:pPr>
    </w:p>
    <w:p w14:paraId="6A15CA0A" w14:textId="77777777" w:rsidR="00000000" w:rsidRDefault="00000000">
      <w:pPr>
        <w:pStyle w:val="2127baf2"/>
        <w:spacing w:line="360" w:lineRule="exact"/>
        <w:jc w:val="center"/>
        <w:rPr>
          <w:rFonts w:ascii="微软简标宋" w:eastAsia="微软简标宋" w:hAnsi="宋体" w:cs="宋体" w:hint="eastAsia"/>
          <w:sz w:val="24"/>
        </w:rPr>
      </w:pPr>
    </w:p>
    <w:p w14:paraId="60F4CA28" w14:textId="77777777" w:rsidR="00000000" w:rsidRDefault="00000000">
      <w:pPr>
        <w:pStyle w:val="2127baf2"/>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2127baf2"/>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2127baf2"/>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2127baf2"/>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2127baf2"/>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2127baf2"/>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2127baf2"/>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2127baf2"/>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2127baf2"/>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2127baf2"/>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2127baf2"/>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2127baf2"/>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2127baf2"/>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2127baf2"/>
        <w:spacing w:line="360" w:lineRule="exact"/>
        <w:ind w:left="180" w:firstLineChars="200" w:firstLine="420"/>
        <w:rPr>
          <w:rFonts w:ascii="微软简仿宋" w:eastAsia="微软简仿宋" w:hint="eastAsia"/>
          <w:szCs w:val="21"/>
        </w:rPr>
      </w:pPr>
    </w:p>
    <w:p w14:paraId="20DC3CDD" w14:textId="77777777" w:rsidR="00000000" w:rsidRDefault="00000000">
      <w:pPr>
        <w:pStyle w:val="2127baf2"/>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2127baf2"/>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2127baf2"/>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8fb1e975"/>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2127baf2"/>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2127baf2"/>
        <w:rPr>
          <w:rFonts w:ascii="微软简仿宋" w:eastAsia="微软简仿宋" w:hint="eastAsia"/>
          <w:b/>
          <w:bCs/>
          <w:szCs w:val="21"/>
        </w:rPr>
      </w:pPr>
    </w:p>
    <w:p w14:paraId="695A3120" w14:textId="77777777" w:rsidR="00000000" w:rsidRDefault="00000000">
      <w:pPr>
        <w:pStyle w:val="2127baf2"/>
        <w:rPr>
          <w:rFonts w:ascii="微软简仿宋" w:eastAsia="微软简仿宋" w:hint="eastAsia"/>
          <w:b/>
          <w:bCs/>
          <w:szCs w:val="21"/>
        </w:rPr>
      </w:pPr>
    </w:p>
    <w:p w14:paraId="441B80B3" w14:textId="77777777" w:rsidR="00000000" w:rsidRDefault="00000000">
      <w:pPr>
        <w:pStyle w:val="2127baf2"/>
        <w:rPr>
          <w:rFonts w:ascii="微软简仿宋" w:eastAsia="微软简仿宋" w:hint="eastAsia"/>
          <w:b/>
          <w:bCs/>
          <w:szCs w:val="21"/>
        </w:rPr>
      </w:pPr>
    </w:p>
    <w:p w14:paraId="6E253854" w14:textId="77777777" w:rsidR="00000000" w:rsidRDefault="00000000">
      <w:pPr>
        <w:pStyle w:val="2127baf2"/>
        <w:rPr>
          <w:rFonts w:ascii="微软简仿宋" w:eastAsia="微软简仿宋" w:hint="eastAsia"/>
          <w:b/>
          <w:bCs/>
          <w:szCs w:val="21"/>
        </w:rPr>
      </w:pPr>
    </w:p>
    <w:p w14:paraId="24EEDE89" w14:textId="77777777" w:rsidR="00000000" w:rsidRDefault="00000000">
      <w:pPr>
        <w:pStyle w:val="2127baf2"/>
        <w:rPr>
          <w:rFonts w:ascii="微软简仿宋" w:eastAsia="微软简仿宋" w:hint="eastAsia"/>
          <w:b/>
          <w:bCs/>
          <w:szCs w:val="21"/>
        </w:rPr>
      </w:pPr>
    </w:p>
    <w:p w14:paraId="7ADBF686" w14:textId="77777777" w:rsidR="006D7546" w:rsidRDefault="00000000">
      <w:pPr>
        <w:pStyle w:val="2127baf2"/>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2127baf2"/>
        <w:pageBreakBefore w:val="true"/>
      </w:pPr>
    </w:p>
    <w:p w14:paraId="69997647" w14:textId="06CF27DE" w:rsidR="0074532A" w:rsidRDefault="0054018B">
      <w:pPr>
        <w:pStyle w:val="cfc114ba"/>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cfc114ba"/>
        <w:spacing w:line="360" w:lineRule="auto"/>
        <w:jc w:val="center"/>
        <w:rPr>
          <w:rFonts w:ascii="微软简标宋" w:eastAsia="微软简标宋"/>
          <w:b/>
          <w:sz w:val="32"/>
          <w:szCs w:val="21"/>
        </w:rPr>
      </w:pPr>
    </w:p>
    <w:p w14:paraId="2FC2DCEC" w14:textId="77777777" w:rsidR="0074532A" w:rsidRDefault="00000000">
      <w:pPr>
        <w:pStyle w:val="cfc114ba"/>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cfc114ba"/>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cfc114ba"/>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cfc114ba"/>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cfc114b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cfc114b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cfc114b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cfc114b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cfc114ba"/>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cfc114ba"/>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cfc114b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cfc114b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cfc114b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cfc114b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cfc114b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cfc114b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cfc114b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cfc114b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cfc114b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cfc114b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cfc114b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cfc114b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cfc114ba"/>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cfc114ba"/>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cfc114ba"/>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cfc114ba"/>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cfc114ba"/>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cfc114ba"/>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cfc114b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cfc114b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cfc114b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cfc114b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cfc114b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cfc114b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cfc114b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cfc114b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cfc114b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cfc114b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cfc114ba"/>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cfc114b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cfc114b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cfc114b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cfc114b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cfc114b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cfc114b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cfc114b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cfc114b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cfc114b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cfc114ba"/>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cfc114ba"/>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cfc114ba"/>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cfc114b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cfc114b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cfc114ba"/>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cfc114b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cfc114ba"/>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cfc114ba"/>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cfc114b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cfc114b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cfc114b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cfc114b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cfc114b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cfc114b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cfc114ba"/>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cfc114b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cfc114ba"/>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cfc114ba"/>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cfc114ba"/>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cfc114ba"/>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cfc114b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cfc114ba"/>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cfc114ba"/>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cfc114ba"/>
        <w:adjustRightInd w:val="0"/>
        <w:snapToGrid w:val="0"/>
        <w:spacing w:line="360" w:lineRule="auto"/>
        <w:ind w:firstLineChars="200" w:firstLine="420"/>
      </w:pPr>
    </w:p>
    <w:p w14:paraId="53F741B5" w14:textId="77777777" w:rsidR="0074532A" w:rsidRDefault="00000000">
      <w:pPr>
        <w:pStyle w:val="cfc114b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cfc114ba"/>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cfc114ba"/>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cfc114ba"/>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cfc114ba"/>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cfc114ba"/>
        <w:pageBreakBefore w:val="true"/>
      </w:pPr>
    </w:p>
    <w:p w14:paraId="1A5B5AAC" w14:textId="77777777" w:rsidR="00584B3C" w:rsidRDefault="00000000">
      <w:pPr>
        <w:pStyle w:val="9c3758f2"/>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9c3758f2"/>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9c3758f2"/>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9c3758f2"/>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厦门银行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9c3758f2"/>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9c3758f2"/>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9c3758f2"/>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厦门银行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9c3758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9c3758f2"/>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9c3758f2"/>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9c3758f2"/>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9c3758f2"/>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厦门银行</w:t>
      </w:r>
    </w:p>
    <w:p w14:paraId="4C8D7F7B" w14:textId="017276D9" w:rsidR="00584B3C" w:rsidRDefault="00000000">
      <w:pPr>
        <w:pStyle w:val="9c3758f2"/>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姚志平</w:t>
      </w:r>
    </w:p>
    <w:p w14:paraId="6B606454" w14:textId="32B15ABB" w:rsidR="00584B3C" w:rsidRDefault="00000000">
      <w:pPr>
        <w:pStyle w:val="9c3758f2"/>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厦门市思明区湖滨北路101号商业银行大厦</w:t>
      </w:r>
    </w:p>
    <w:p w14:paraId="6BF5D1C4" w14:textId="4FF04951" w:rsidR="00584B3C" w:rsidRDefault="00000000">
      <w:pPr>
        <w:pStyle w:val="9c3758f2"/>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361001</w:t>
      </w:r>
    </w:p>
    <w:p w14:paraId="507D31BB" w14:textId="6B57002C" w:rsidR="00584B3C" w:rsidRDefault="00000000">
      <w:pPr>
        <w:pStyle w:val="9c3758f2"/>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www.xmbankonline.com</w:t>
      </w:r>
    </w:p>
    <w:p w14:paraId="6DE9B191" w14:textId="70444A17" w:rsidR="00584B3C" w:rsidRDefault="00000000">
      <w:pPr>
        <w:pStyle w:val="9c3758f2"/>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400-858-8888</w:t>
      </w:r>
    </w:p>
    <w:p w14:paraId="394DF153" w14:textId="77777777" w:rsidR="00584B3C" w:rsidRDefault="00584B3C">
      <w:pPr>
        <w:pStyle w:val="9c3758f2"/>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9c3758f2"/>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9c3758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9c3758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9c3758f2"/>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9c3758f2"/>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9c3758f2"/>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9c3758f2"/>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9c3758f2"/>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9c3758f2"/>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9c3758f2"/>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9c3758f2"/>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9c3758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9c3758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9c3758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9c3758f2"/>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9c3758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9c3758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9c3758f2"/>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9c3758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9c3758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9c3758f2"/>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9c3758f2"/>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9c3758f2"/>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9c3758f2"/>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9c3758f2"/>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9c3758f2"/>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9c3758f2"/>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9c3758f2"/>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9c3758f2"/>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9c3758f2"/>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9c3758f2"/>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9c3758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9c3758f2"/>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9c3758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9c3758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9c3758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9c3758f2"/>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9c3758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9c3758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9c3758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9c3758f2"/>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9c3758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9c3758f2"/>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9c3758f2"/>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9c3758f2"/>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9c3758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9c3758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9c3758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9c3758f2"/>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9c3758f2"/>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9c3758f2"/>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9c3758f2"/>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9c3758f2"/>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9c3758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9c3758f2"/>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9c3758f2"/>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9c3758f2"/>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9c3758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9c3758f2"/>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Strong14"/>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5">
    <w:name w:val="Emphasis15"/>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6">
    <w:name w:val="HTML Definition16"/>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7">
    <w:name w:val="HTML Acronym17"/>
    <w:basedOn w:val="13"/>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8">
    <w:name w:val="HTML Variable18"/>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9">
    <w:name w:val="HTML Code19"/>
    <w:qFormat/>
    <w:uiPriority w:val="0"/>
    <w:rPr>
      <w:rFonts w:ascii="Courier New" w:hAnsi="Courier New"/>
      <w:sz w:val="20"/>
      <w:shd w:val="clear" w:color="auto" w:fill="FFFFFF"/>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20">
    <w:name w:val="HTML Cite20"/>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1">
    <w:name w:val="正文 A21"/>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2">
    <w:name w:val="Default22"/>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3">
    <w:name w:val="YJH-nei23"/>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4">
    <w:name w:val="p024"/>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5">
    <w:name w:val="leftmenu-morenav25"/>
    <w:basedOn w:val="13"/>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6">
    <w:name w:val="disabled26"/>
    <w:qFormat/>
    <w:uiPriority w:val="0"/>
    <w:rPr>
      <w:color w:val="CCCCCC"/>
      <w:bdr w:val="single" w:color="CCCCCC" w:sz="6" w:space="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7">
    <w:name w:val="font1127"/>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8">
    <w:name w:val="current28"/>
    <w:qFormat/>
    <w:uiPriority w:val="0"/>
    <w:rPr>
      <w:color w:val="FFFFFF"/>
      <w:bdr w:val="single" w:color="8DB5D7" w:sz="6" w:space="0"/>
      <w:shd w:val="clear" w:color="auto" w:fill="0080FF"/>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9">
    <w:name w:val="font5129"/>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30">
    <w:name w:val="font813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31">
    <w:name w:val="font0131"/>
    <w:qFormat/>
    <w:uiPriority w:val="0"/>
    <w:rPr>
      <w:rFonts w:hint="default" w:ascii="Times New Roman" w:hAnsi="Times New Roman" w:cs="Times New Roman"/>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127baf2">
    <w:name w:val="Normal2127baf2"/>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18e16ab">
    <w:name w:val="Default Paragraph Fontc18e16ab"/>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d8de44ae">
    <w:name w:val="Normal Tabled8de44ae"/>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76c942ad">
    <w:name w:val="No List76c942ad"/>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9a9c3a9">
    <w:name w:val="批注文字 字符d9a9c3a9"/>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c18e16ab"/>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470e3f8">
    <w:name w:val="Strongf470e3f8"/>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e0791e20">
    <w:name w:val="页脚 字符e0791e20"/>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c18e16ab"/>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141a45f">
    <w:name w:val="annotation reference0141a45f"/>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7468d556">
    <w:name w:val="page number7468d556"/>
    <w:basedOn w:val="c18e16ab"/>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fb1e975">
    <w:name w:val="Hyperlink8fb1e975"/>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787cfc">
    <w:name w:val="页眉 字符30787cfc"/>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f553a3a">
    <w:name w:val="Emphasis0f553a3a"/>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94d143e">
    <w:name w:val="footer794d143e"/>
    <w:basedOn w:val="2127baf2"/>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1464916">
    <w:name w:val="headera1464916"/>
    <w:basedOn w:val="2127baf2"/>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3a55960c">
    <w:name w:val="Char Char Char Char Char Char Char Char Char Char Char Char3a55960c"/>
    <w:basedOn w:val="2127baf2"/>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2127baf2"/>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eba2e96">
    <w:name w:val="annotation text3eba2e96"/>
    <w:basedOn w:val="2127baf2"/>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3eba2e96"/>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b8f28cec">
    <w:name w:val="Defaultb8f28cec"/>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fc114ba">
    <w:name w:val="Normalcfc114ba"/>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254b366">
    <w:name w:val="heading 1e254b366"/>
    <w:basedOn w:val="cfc114ba"/>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c1502b0">
    <w:name w:val="heading 28c1502b0"/>
    <w:basedOn w:val="cfc114ba"/>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e934508">
    <w:name w:val="heading 30e934508"/>
    <w:basedOn w:val="cfc114ba"/>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d319ca78">
    <w:name w:val="Default Paragraph Fontd319ca78"/>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93844c5e">
    <w:name w:val="Normal Table93844c5e"/>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65f7d10e">
    <w:name w:val="No List65f7d10e"/>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eacc029">
    <w:name w:val="标题 1 字符ceacc029"/>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2f817a3">
    <w:name w:val="标题 2 字符02f817a3"/>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3d9bae4">
    <w:name w:val="标题 3 字符63d9bae4"/>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2e2c75d">
    <w:name w:val="annotation text72e2c75d"/>
    <w:basedOn w:val="cfc114ba"/>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97021ea">
    <w:name w:val="批注文字 字符697021ea"/>
    <w:basedOn w:val="d319ca78"/>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b5e9c2e">
    <w:name w:val="Balloon Text2b5e9c2e"/>
    <w:basedOn w:val="cfc114ba"/>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2bb6970">
    <w:name w:val="批注框文本 字符12bb6970"/>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d9c4d52">
    <w:name w:val="footerbd9c4d52"/>
    <w:basedOn w:val="cfc114ba"/>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525c39a">
    <w:name w:val="页脚 字符5525c39a"/>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1b74252">
    <w:name w:val="header41b74252"/>
    <w:basedOn w:val="cfc114ba"/>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ffb57e2">
    <w:name w:val="页眉 字符3ffb57e2"/>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87002d1">
    <w:name w:val="Normal (Web)487002d1"/>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c8151a8">
    <w:name w:val="annotation subject2c8151a8"/>
    <w:basedOn w:val="72e2c75d"/>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2037ae3">
    <w:name w:val="批注主题 字符62037ae3"/>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02b3449">
    <w:name w:val="annotation referencef02b3449"/>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06a8af17">
    <w:name w:val="Char Char Char Char Char Char Char Char Char Char Char Char06a8af17"/>
    <w:basedOn w:val="cfc114ba"/>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c3758f2">
    <w:name w:val="Normal9c3758f2"/>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e3f0386">
    <w:name w:val="Default Paragraph Fontee3f0386"/>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43ce983c">
    <w:name w:val="Normal Table43ce983c"/>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22e7d8cb">
    <w:name w:val="No List22e7d8cb"/>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e51c6c5">
    <w:name w:val="annotation text2e51c6c5"/>
    <w:basedOn w:val="9c3758f2"/>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276ae42">
    <w:name w:val="批注文字 字符f276ae42"/>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ca45cc4">
    <w:name w:val="Body Text Indent6ca45cc4"/>
    <w:basedOn w:val="9c3758f2"/>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d8322f6">
    <w:name w:val="Balloon Textdd8322f6"/>
    <w:basedOn w:val="9c3758f2"/>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29d2647">
    <w:name w:val="footer829d2647"/>
    <w:basedOn w:val="9c3758f2"/>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7e5eb21">
    <w:name w:val="headere7e5eb21"/>
    <w:basedOn w:val="9c3758f2"/>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bef017f">
    <w:name w:val="annotation subject7bef017f"/>
    <w:basedOn w:val="2e51c6c5"/>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76de5864">
    <w:name w:val="批注主题 字符76de5864"/>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e0e26b1b">
    <w:name w:val="Char Char Char Char Char Char Char Char Char Char Char Chare0e26b1b"/>
    <w:basedOn w:val="9c3758f2"/>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73c8b8">
    <w:name w:val="annotation referencea973c8b8"/>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2025-01-15T07:13:23Z</dcterms:created>
  <dc:creator>Apache POI</dc:creator>
</cp:coreProperties>
</file>