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default" w:ascii="华文中宋" w:hAnsi="华文中宋" w:eastAsia="华文中宋" w:cs="华文中宋"/>
          <w:b/>
          <w:bCs/>
          <w:kern w:val="0"/>
          <w:sz w:val="36"/>
          <w:szCs w:val="36"/>
          <w:lang w:eastAsia="zh-CN"/>
        </w:rPr>
        <w:t>杭银理财幸福99天添益（安享优选）1期理财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  <w:lang w:val="en-US" w:eastAsia="zh-CN"/>
        </w:rPr>
        <w:t>产品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  <w:t>费用阶段性调整公告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为满足投资者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理财需求，更好地为投资者提供服务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杭银理财拟对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杭银理财幸福99天添益（安享优选）1期理财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的产品费用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进行阶段性调整，具体如下：</w:t>
      </w:r>
    </w:p>
    <w:tbl>
      <w:tblPr>
        <w:tblStyle w:val="11"/>
        <w:tblW w:w="8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45"/>
        <w:gridCol w:w="1373"/>
        <w:gridCol w:w="1386"/>
        <w:gridCol w:w="1446"/>
        <w:gridCol w:w="1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9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销售代码</w:t>
            </w:r>
          </w:p>
        </w:tc>
        <w:tc>
          <w:tcPr>
            <w:tcW w:w="1445" w:type="dxa"/>
            <w:vAlign w:val="center"/>
          </w:tcPr>
          <w:p>
            <w:pPr>
              <w:pStyle w:val="9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费用类型</w:t>
            </w:r>
          </w:p>
        </w:tc>
        <w:tc>
          <w:tcPr>
            <w:tcW w:w="1373" w:type="dxa"/>
            <w:vAlign w:val="center"/>
          </w:tcPr>
          <w:p>
            <w:pPr>
              <w:pStyle w:val="9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说明书约定的费率</w:t>
            </w:r>
          </w:p>
        </w:tc>
        <w:tc>
          <w:tcPr>
            <w:tcW w:w="1386" w:type="dxa"/>
            <w:vAlign w:val="center"/>
          </w:tcPr>
          <w:p>
            <w:pPr>
              <w:pStyle w:val="9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调整后的费率</w:t>
            </w:r>
          </w:p>
        </w:tc>
        <w:tc>
          <w:tcPr>
            <w:tcW w:w="1446" w:type="dxa"/>
            <w:vAlign w:val="center"/>
          </w:tcPr>
          <w:p>
            <w:pPr>
              <w:pStyle w:val="9"/>
              <w:shd w:val="clear" w:color="auto" w:fill="FFFFFF"/>
              <w:jc w:val="center"/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生效日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333333"/>
                <w:lang w:val="en-US" w:eastAsia="zh-CN"/>
              </w:rPr>
              <w:t>含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）</w:t>
            </w:r>
          </w:p>
        </w:tc>
        <w:tc>
          <w:tcPr>
            <w:tcW w:w="1513" w:type="dxa"/>
            <w:vAlign w:val="center"/>
          </w:tcPr>
          <w:p>
            <w:pPr>
              <w:pStyle w:val="9"/>
              <w:shd w:val="clear" w:color="auto" w:fill="FFFFFF"/>
              <w:jc w:val="center"/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结束日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333333"/>
                <w:lang w:val="en-US" w:eastAsia="zh-CN"/>
              </w:rPr>
              <w:t>含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9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TYG1D2201</w:t>
            </w:r>
          </w:p>
        </w:tc>
        <w:tc>
          <w:tcPr>
            <w:tcW w:w="1445" w:type="dxa"/>
            <w:vAlign w:val="center"/>
          </w:tcPr>
          <w:p>
            <w:pPr>
              <w:pStyle w:val="9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固定管理费</w:t>
            </w:r>
          </w:p>
        </w:tc>
        <w:tc>
          <w:tcPr>
            <w:tcW w:w="1373" w:type="dxa"/>
            <w:vAlign w:val="center"/>
          </w:tcPr>
          <w:p>
            <w:pPr>
              <w:pStyle w:val="9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</w:t>
            </w:r>
            <w:r>
              <w:rPr>
                <w:rFonts w:hint="eastAsia" w:ascii="仿宋_GB2312" w:hAnsi="仿宋_GB2312" w:eastAsia="仿宋_GB2312" w:cs="仿宋_GB2312"/>
                <w:color w:val="333333"/>
                <w:lang w:val="en-US" w:eastAsia="zh-CN"/>
              </w:rPr>
              <w:t>4</w:t>
            </w: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0%</w:t>
            </w:r>
          </w:p>
        </w:tc>
        <w:tc>
          <w:tcPr>
            <w:tcW w:w="1386" w:type="dxa"/>
            <w:vAlign w:val="center"/>
          </w:tcPr>
          <w:p>
            <w:pPr>
              <w:pStyle w:val="9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0.20%</w:t>
            </w:r>
          </w:p>
        </w:tc>
        <w:tc>
          <w:tcPr>
            <w:tcW w:w="1446" w:type="dxa"/>
            <w:vAlign w:val="center"/>
          </w:tcPr>
          <w:p>
            <w:pPr>
              <w:pStyle w:val="9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2025-01-01</w:t>
            </w:r>
          </w:p>
        </w:tc>
        <w:tc>
          <w:tcPr>
            <w:tcW w:w="1513" w:type="dxa"/>
            <w:vAlign w:val="center"/>
          </w:tcPr>
          <w:p>
            <w:pPr>
              <w:pStyle w:val="9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2025-01-31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9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TYG1D2201</w:t>
            </w:r>
          </w:p>
        </w:tc>
        <w:tc>
          <w:tcPr>
            <w:tcW w:w="1445" w:type="dxa"/>
            <w:vAlign w:val="center"/>
          </w:tcPr>
          <w:p>
            <w:pPr>
              <w:pStyle w:val="9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销售服务费</w:t>
            </w:r>
          </w:p>
        </w:tc>
        <w:tc>
          <w:tcPr>
            <w:tcW w:w="1373" w:type="dxa"/>
            <w:vAlign w:val="center"/>
          </w:tcPr>
          <w:p>
            <w:pPr>
              <w:pStyle w:val="9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</w:t>
            </w:r>
            <w:r>
              <w:rPr>
                <w:rFonts w:hint="eastAsia" w:ascii="仿宋_GB2312" w:hAnsi="仿宋_GB2312" w:eastAsia="仿宋_GB2312" w:cs="仿宋_GB2312"/>
                <w:color w:val="333333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0%</w:t>
            </w:r>
          </w:p>
        </w:tc>
        <w:tc>
          <w:tcPr>
            <w:tcW w:w="1386" w:type="dxa"/>
            <w:vAlign w:val="center"/>
          </w:tcPr>
          <w:p>
            <w:pPr>
              <w:pStyle w:val="9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0.30%</w:t>
            </w:r>
          </w:p>
        </w:tc>
        <w:tc>
          <w:tcPr>
            <w:tcW w:w="1446" w:type="dxa"/>
            <w:vAlign w:val="center"/>
          </w:tcPr>
          <w:p>
            <w:pPr>
              <w:pStyle w:val="9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2025-01-01</w:t>
            </w:r>
          </w:p>
        </w:tc>
        <w:tc>
          <w:tcPr>
            <w:tcW w:w="1513" w:type="dxa"/>
            <w:vAlign w:val="center"/>
          </w:tcPr>
          <w:p>
            <w:pPr>
              <w:pStyle w:val="9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另行通知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感谢您一直以来对杭银理财的支持，敬请继续关注杭银理财的理财产品。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杭银理财有限责任公司</w:t>
      </w: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ascii="仿宋_GB2312" w:hAnsi="仿宋_GB2312" w:eastAsia="仿宋_GB2312" w:cs="仿宋_GB2312"/>
          <w:color w:val="0000FF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 xml:space="preserve">                                  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2024年12月30日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hYjRlZDVkMGNhZWM2ZDc0NWIwYmZiZDBhZDllMzMifQ=="/>
  </w:docVars>
  <w:rsids>
    <w:rsidRoot w:val="7B097FDB"/>
    <w:rsid w:val="002922F3"/>
    <w:rsid w:val="00936F91"/>
    <w:rsid w:val="00F13F70"/>
    <w:rsid w:val="097B1200"/>
    <w:rsid w:val="0C27016F"/>
    <w:rsid w:val="0C951B18"/>
    <w:rsid w:val="0E5218F4"/>
    <w:rsid w:val="12C05C95"/>
    <w:rsid w:val="179272F5"/>
    <w:rsid w:val="1B7156DA"/>
    <w:rsid w:val="1DDB1F45"/>
    <w:rsid w:val="21EF7EC3"/>
    <w:rsid w:val="23855271"/>
    <w:rsid w:val="23E9139B"/>
    <w:rsid w:val="262042C4"/>
    <w:rsid w:val="28587022"/>
    <w:rsid w:val="28FE4FFD"/>
    <w:rsid w:val="2A9B7EEB"/>
    <w:rsid w:val="2AAD7E4C"/>
    <w:rsid w:val="2DAC478B"/>
    <w:rsid w:val="2EF3355D"/>
    <w:rsid w:val="3122558A"/>
    <w:rsid w:val="31F16DE0"/>
    <w:rsid w:val="357F4616"/>
    <w:rsid w:val="365D0235"/>
    <w:rsid w:val="384635C2"/>
    <w:rsid w:val="3BDA699B"/>
    <w:rsid w:val="3DE81F93"/>
    <w:rsid w:val="430C62A5"/>
    <w:rsid w:val="438D6AF3"/>
    <w:rsid w:val="48AE7640"/>
    <w:rsid w:val="48B60138"/>
    <w:rsid w:val="4C401C66"/>
    <w:rsid w:val="4D975F11"/>
    <w:rsid w:val="4DFC7D00"/>
    <w:rsid w:val="4E386CB2"/>
    <w:rsid w:val="50A26328"/>
    <w:rsid w:val="51202DF8"/>
    <w:rsid w:val="54FD13A9"/>
    <w:rsid w:val="569A3030"/>
    <w:rsid w:val="59DA769E"/>
    <w:rsid w:val="5CCC5D32"/>
    <w:rsid w:val="619E18CE"/>
    <w:rsid w:val="64453FF8"/>
    <w:rsid w:val="64C4452C"/>
    <w:rsid w:val="66EF4CD2"/>
    <w:rsid w:val="671244D5"/>
    <w:rsid w:val="67BF728E"/>
    <w:rsid w:val="6B7D2BE9"/>
    <w:rsid w:val="733325D8"/>
    <w:rsid w:val="75507940"/>
    <w:rsid w:val="760179B3"/>
    <w:rsid w:val="79004989"/>
    <w:rsid w:val="7B097FDB"/>
    <w:rsid w:val="7D6C08F2"/>
    <w:rsid w:val="7DAC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" w:semiHidden="0" w:name="heading 1"/>
    <w:lsdException w:uiPriority="9" w:semiHidden="0" w:name="heading 2"/>
    <w:lsdException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2E75B6" w:themeColor="accent1" w:themeShade="BF"/>
      <w:sz w:val="28"/>
      <w:szCs w:val="28"/>
    </w:rPr>
  </w:style>
  <w:style w:type="paragraph" w:styleId="3">
    <w:name w:val="heading 2"/>
    <w:next w:val="1"/>
    <w:unhideWhenUsed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next w:val="1"/>
    <w:unhideWhenUsed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5B9BD5" w:themeColor="accent1"/>
      <w14:textFill>
        <w14:solidFill>
          <w14:schemeClr w14:val="accent1"/>
        </w14:solidFill>
      </w14:textFill>
    </w:rPr>
  </w:style>
  <w:style w:type="paragraph" w:styleId="5">
    <w:name w:val="heading 4"/>
    <w:next w:val="1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  <w14:textFill>
        <w14:solidFill>
          <w14:schemeClr w14:val="accent1"/>
        </w14:solidFill>
      </w14:textFill>
    </w:rPr>
  </w:style>
  <w:style w:type="paragraph" w:styleId="6">
    <w:name w:val="heading 5"/>
    <w:next w:val="1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1F4E79" w:themeColor="accent1" w:themeShade="80"/>
    </w:rPr>
  </w:style>
  <w:style w:type="paragraph" w:styleId="7">
    <w:name w:val="heading 6"/>
    <w:next w:val="1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1F4E79" w:themeColor="accent1" w:themeShade="80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annotation text"/>
    <w:basedOn w:val="1"/>
    <w:qFormat/>
    <w:uiPriority w:val="0"/>
    <w:pPr>
      <w:jc w:val="left"/>
    </w:p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96F98AEF.dotm</Template>
  <Pages>1</Pages>
  <Words>55</Words>
  <Characters>316</Characters>
  <Lines>2</Lines>
  <Paragraphs>1</Paragraphs>
  <TotalTime>1</TotalTime>
  <ScaleCrop>false</ScaleCrop>
  <LinksUpToDate>false</LinksUpToDate>
  <CharactersWithSpaces>370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2024-03-12T11:38:00Z</dcterms:created>
  <dc:creator>陈舒虹</dc:creator>
  <cp:lastModifiedBy>高玉锦</cp:lastModifiedBy>
  <dcterms:modified xsi:type="dcterms:W3CDTF">2024-12-30T06:54:22Z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97E7EEED53A54652B024B934AFD422AC</vt:lpwstr>
  </property>
</Properties>
</file>