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PWF06GO7RYA00BGRVR8PLJ87NL0OAGREN0XWJD8XF88TFWTN0BRPCJWFS6TPDRRXFM6SOLIZIX78PNJQOFTVFFZ8RN0WHWB8JOOKHB3E16BBB1D6A4B69830BD8AFDAC247B195" Type="http://schemas.microsoft.com/office/2006/relationships/officeDocumentMain" Target="docProps/core.xml"/><Relationship Id="CPWFK6GJ79TQ0TTGQZR8IL0Y7NNMOYVREJ06FJECXF8RTE5TZ6BR6CJFFYSTPB8RBFMXCOL0ZI6D8INJRJFA0FFN8RNMWMCBAOOOYHB369BB3526F3DEB3A795FCA028A5E59597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徽银理财净值型理财产品每周净值公告（2024年08月02日）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08月02日,产品存续份额:56,862,535份，产品当日资产净值:58,813,631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1.032701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1.033860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08月02日,产品存续份额:2,390,000份，产品当日资产净值:2,478,808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1.036627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08月02日,产品存续份额:31,172,403份，产品当日资产净值:31,955,624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1.025242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08月02日,产品存续份额:3,550,000份，产品当日资产净值:3,651,609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1.029612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1.025173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08月02日,产品存续份额:2,780,000份，产品当日资产净值:2,813,287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08月02日,产品存续份额:50,836,956份，产品当日资产净值:51,192,032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08月02日,产品存续份额:70,552,652份，产品当日资产净值:75,012,191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1.060086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1.060086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1.060856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1.062405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1.062405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08月02日,产品存续份额:10,530,000份，产品当日资产净值:10,616,014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9、徽银理财“安盈”稳利1年固定收益类理财产品240269：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240269,产品代码PNHY240269,产品登记编码Z7002424000240,于2024年07月31日成立并投资运作，截至2024年08月02日,产品存续份额:4,190,000份，产品当日资产净值:4,190,441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10、徽银理财“安盈”固定收益类理财产品240270：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240270,产品代码PNHY240270,产品登记编码Z7002424000235,于2024年07月25日成立并投资运作，截至2024年08月02日,产品存续份额:5,070,000份，产品当日资产净值:5,074,674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2024年7月26日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2024年8月2日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2024年08月06日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