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adjustRightInd w:val="0"/>
        <w:snapToGrid w:val="0"/>
        <w:spacing w:line="400" w:lineRule="exact"/>
        <w:ind w:firstLine="0"/>
        <w:jc w:val="center"/>
        <w:rPr>
          <w:rFonts w:eastAsia="黑体"/>
          <w:bCs/>
          <w:kern w:val="2"/>
          <w:sz w:val="36"/>
          <w:szCs w:val="36"/>
        </w:rPr>
      </w:pPr>
      <w:bookmarkStart w:id="4" w:name="_GoBack"/>
      <w:bookmarkEnd w:id="4"/>
      <w:r>
        <w:rPr>
          <w:rFonts w:hint="eastAsia" w:eastAsia="黑体"/>
          <w:bCs/>
          <w:kern w:val="2"/>
          <w:sz w:val="36"/>
          <w:szCs w:val="36"/>
        </w:rPr>
        <w:t>华夏理财固定收益纯债最短持有</w:t>
      </w:r>
      <w:r>
        <w:rPr>
          <w:rFonts w:eastAsia="黑体"/>
          <w:bCs/>
          <w:kern w:val="2"/>
          <w:sz w:val="36"/>
          <w:szCs w:val="36"/>
        </w:rPr>
        <w:t>7</w:t>
      </w:r>
      <w:r>
        <w:rPr>
          <w:rFonts w:hint="eastAsia" w:eastAsia="黑体"/>
          <w:bCs/>
          <w:kern w:val="2"/>
          <w:sz w:val="36"/>
          <w:szCs w:val="36"/>
        </w:rPr>
        <w:t>天理财产品A款</w:t>
      </w:r>
    </w:p>
    <w:p>
      <w:pPr>
        <w:pStyle w:val="6"/>
        <w:adjustRightInd w:val="0"/>
        <w:snapToGrid w:val="0"/>
        <w:spacing w:line="400" w:lineRule="exact"/>
        <w:ind w:firstLine="0"/>
        <w:jc w:val="center"/>
        <w:rPr>
          <w:rFonts w:eastAsia="黑体"/>
          <w:bCs/>
          <w:kern w:val="2"/>
          <w:sz w:val="36"/>
          <w:szCs w:val="36"/>
        </w:rPr>
      </w:pPr>
      <w:r>
        <w:rPr>
          <w:rFonts w:hint="eastAsia" w:eastAsia="黑体"/>
          <w:bCs/>
          <w:kern w:val="2"/>
          <w:sz w:val="36"/>
          <w:szCs w:val="36"/>
        </w:rPr>
        <w:t>说明书</w:t>
      </w:r>
    </w:p>
    <w:tbl>
      <w:tblPr>
        <w:tblStyle w:val="11"/>
        <w:tblpPr w:leftFromText="180" w:rightFromText="180" w:vertAnchor="page" w:horzAnchor="page" w:tblpX="1867" w:tblpY="2343"/>
        <w:tblW w:w="8590"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90"/>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42" w:hRule="atLeast"/>
        </w:trPr>
        <w:tc>
          <w:tcPr>
            <w:tcW w:w="8590" w:type="dxa"/>
            <w:tcBorders>
              <w:top w:val="single" w:color="auto" w:sz="4" w:space="0"/>
              <w:left w:val="single" w:color="auto" w:sz="4" w:space="0"/>
              <w:right w:val="single" w:color="auto" w:sz="4" w:space="0"/>
            </w:tcBorders>
            <w:vAlign w:val="center"/>
          </w:tcPr>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一、</w:t>
            </w:r>
            <w:r>
              <w:rPr>
                <w:rFonts w:ascii="黑体" w:hAnsi="黑体" w:eastAsia="黑体"/>
                <w:b/>
                <w:sz w:val="28"/>
                <w:szCs w:val="28"/>
                <w:u w:val="single"/>
              </w:rPr>
              <w:t>理财产品与存款存在明显区别，具有一定的风险</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rPr>
            </w:pPr>
            <w:r>
              <w:rPr>
                <w:rFonts w:hint="eastAsia" w:ascii="黑体" w:hAnsi="黑体" w:eastAsia="黑体"/>
                <w:b/>
                <w:sz w:val="28"/>
                <w:szCs w:val="28"/>
                <w:u w:val="single"/>
              </w:rPr>
              <w:t>二、本理财产品为非保本浮动收益净值型理财产品，</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有限</w:t>
            </w:r>
            <w:r>
              <w:rPr>
                <w:rFonts w:hint="eastAsia" w:ascii="黑体" w:hAnsi="黑体" w:eastAsia="黑体"/>
                <w:b/>
                <w:sz w:val="28"/>
                <w:szCs w:val="28"/>
                <w:u w:val="single"/>
              </w:rPr>
              <w:t>责任</w:t>
            </w:r>
            <w:r>
              <w:rPr>
                <w:rFonts w:ascii="黑体" w:hAnsi="黑体" w:eastAsia="黑体"/>
                <w:b/>
                <w:sz w:val="28"/>
                <w:szCs w:val="28"/>
                <w:u w:val="single"/>
              </w:rPr>
              <w:t>公司（以下简称</w:t>
            </w:r>
            <w:r>
              <w:rPr>
                <w:rFonts w:hint="eastAsia" w:ascii="黑体" w:hAnsi="黑体" w:eastAsia="黑体"/>
                <w:b/>
                <w:sz w:val="28"/>
                <w:szCs w:val="28"/>
                <w:u w:val="single"/>
              </w:rPr>
              <w:t>“</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）不保证理财产品本金及理财收益</w:t>
            </w:r>
            <w:r>
              <w:rPr>
                <w:rFonts w:hint="eastAsia" w:ascii="黑体" w:hAnsi="黑体" w:eastAsia="黑体"/>
                <w:b/>
                <w:sz w:val="28"/>
                <w:szCs w:val="28"/>
                <w:u w:val="single"/>
              </w:rPr>
              <w:t>。在本理财产品存续期间，除</w:t>
            </w:r>
            <w:r>
              <w:rPr>
                <w:rFonts w:ascii="黑体" w:hAnsi="黑体" w:eastAsia="黑体"/>
                <w:b/>
                <w:sz w:val="28"/>
                <w:szCs w:val="28"/>
                <w:u w:val="single"/>
              </w:rPr>
              <w:t>本产品说明书约定的特殊情况</w:t>
            </w:r>
            <w:r>
              <w:rPr>
                <w:rFonts w:hint="eastAsia" w:ascii="黑体" w:hAnsi="黑体" w:eastAsia="黑体"/>
                <w:b/>
                <w:sz w:val="28"/>
                <w:szCs w:val="28"/>
                <w:u w:val="single"/>
              </w:rPr>
              <w:t>外</w:t>
            </w:r>
            <w:r>
              <w:rPr>
                <w:rFonts w:ascii="黑体" w:hAnsi="黑体" w:eastAsia="黑体"/>
                <w:b/>
                <w:sz w:val="28"/>
                <w:szCs w:val="28"/>
                <w:u w:val="single"/>
              </w:rPr>
              <w:t>，</w:t>
            </w:r>
            <w:r>
              <w:rPr>
                <w:rFonts w:hint="eastAsia" w:ascii="黑体" w:hAnsi="黑体" w:eastAsia="黑体"/>
                <w:b/>
                <w:sz w:val="28"/>
                <w:szCs w:val="28"/>
                <w:u w:val="single"/>
              </w:rPr>
              <w:t>投资者可在规定时间内按照本产品说明书中约定的申购、赎回条款申购或赎回本理财产品。</w:t>
            </w:r>
            <w:r>
              <w:rPr>
                <w:rFonts w:ascii="黑体" w:hAnsi="黑体" w:eastAsia="黑体"/>
                <w:b/>
                <w:sz w:val="28"/>
                <w:szCs w:val="28"/>
                <w:u w:val="single"/>
              </w:rPr>
              <w:t>投资者</w:t>
            </w:r>
            <w:r>
              <w:rPr>
                <w:rFonts w:hint="eastAsia" w:ascii="黑体" w:hAnsi="黑体" w:eastAsia="黑体"/>
                <w:b/>
                <w:sz w:val="28"/>
                <w:szCs w:val="28"/>
                <w:u w:val="single"/>
              </w:rPr>
              <w:t>投资本理财产品所</w:t>
            </w:r>
            <w:r>
              <w:rPr>
                <w:rFonts w:ascii="黑体" w:hAnsi="黑体" w:eastAsia="黑体"/>
                <w:b/>
                <w:sz w:val="28"/>
                <w:szCs w:val="28"/>
                <w:u w:val="single"/>
              </w:rPr>
              <w:t>面临的风险</w:t>
            </w:r>
            <w:r>
              <w:rPr>
                <w:rFonts w:hint="eastAsia" w:ascii="黑体" w:hAnsi="黑体" w:eastAsia="黑体"/>
                <w:b/>
                <w:sz w:val="28"/>
                <w:szCs w:val="28"/>
                <w:u w:val="single"/>
              </w:rPr>
              <w:t>请详细阅读本产品说明书第八部分风险揭示内容</w:t>
            </w:r>
            <w:r>
              <w:rPr>
                <w:rFonts w:ascii="黑体" w:hAnsi="黑体" w:eastAsia="黑体"/>
                <w:b/>
                <w:sz w:val="28"/>
                <w:szCs w:val="28"/>
                <w:u w:val="single"/>
              </w:rPr>
              <w:t>。投资者应在对风险有充分认识基础上</w:t>
            </w:r>
            <w:r>
              <w:rPr>
                <w:rFonts w:hint="eastAsia" w:ascii="黑体" w:hAnsi="黑体" w:eastAsia="黑体"/>
                <w:b/>
                <w:sz w:val="28"/>
                <w:szCs w:val="28"/>
                <w:u w:val="single"/>
              </w:rPr>
              <w:t>基于自身的独立判断</w:t>
            </w:r>
            <w:r>
              <w:rPr>
                <w:rFonts w:ascii="黑体" w:hAnsi="黑体" w:eastAsia="黑体"/>
                <w:b/>
                <w:sz w:val="28"/>
                <w:szCs w:val="28"/>
                <w:u w:val="single"/>
              </w:rPr>
              <w:t>谨慎投资</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三、</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郑重提示：在购买理财产品前，投资者应确保自己完全明白</w:t>
            </w:r>
            <w:r>
              <w:rPr>
                <w:rFonts w:hint="eastAsia" w:ascii="黑体" w:hAnsi="黑体" w:eastAsia="黑体"/>
                <w:b/>
                <w:sz w:val="28"/>
                <w:szCs w:val="28"/>
                <w:u w:val="single"/>
              </w:rPr>
              <w:t>本</w:t>
            </w:r>
            <w:r>
              <w:rPr>
                <w:rFonts w:ascii="黑体" w:hAnsi="黑体" w:eastAsia="黑体"/>
                <w:b/>
                <w:sz w:val="28"/>
                <w:szCs w:val="28"/>
                <w:u w:val="single"/>
              </w:rPr>
              <w:t>项投资的性质和所涉及的风险，详细了解和审慎评估</w:t>
            </w:r>
            <w:r>
              <w:rPr>
                <w:rFonts w:hint="eastAsia" w:ascii="黑体" w:hAnsi="黑体" w:eastAsia="黑体"/>
                <w:b/>
                <w:sz w:val="28"/>
                <w:szCs w:val="28"/>
                <w:u w:val="single"/>
              </w:rPr>
              <w:t>本</w:t>
            </w:r>
            <w:r>
              <w:rPr>
                <w:rFonts w:ascii="黑体" w:hAnsi="黑体" w:eastAsia="黑体"/>
                <w:b/>
                <w:sz w:val="28"/>
                <w:szCs w:val="28"/>
                <w:u w:val="single"/>
              </w:rPr>
              <w:t>理财产品的资金投资方向、风险类型等基本情况，在慎重考虑后自行决定购买与自身风险承受能力和资产管理需求匹配的理财产品</w:t>
            </w:r>
            <w:r>
              <w:rPr>
                <w:rFonts w:hint="eastAsia" w:ascii="黑体" w:hAnsi="黑体" w:eastAsia="黑体"/>
                <w:b/>
                <w:sz w:val="28"/>
                <w:szCs w:val="28"/>
                <w:u w:val="single"/>
              </w:rPr>
              <w:t>。</w:t>
            </w:r>
          </w:p>
          <w:p>
            <w:pPr>
              <w:adjustRightInd w:val="0"/>
              <w:snapToGrid w:val="0"/>
              <w:spacing w:line="400" w:lineRule="exact"/>
              <w:ind w:left="343" w:right="189" w:rightChars="90"/>
              <w:rPr>
                <w:rFonts w:eastAsia="楷体_GB2312"/>
                <w:sz w:val="28"/>
                <w:szCs w:val="28"/>
                <w:u w:val="single"/>
              </w:rPr>
            </w:pPr>
            <w:r>
              <w:rPr>
                <w:rFonts w:hint="eastAsia" w:ascii="黑体" w:hAnsi="黑体" w:eastAsia="黑体"/>
                <w:b/>
                <w:sz w:val="28"/>
                <w:szCs w:val="28"/>
                <w:u w:val="single"/>
              </w:rPr>
              <w:t>四、本理财产品的</w:t>
            </w:r>
            <w:r>
              <w:rPr>
                <w:rFonts w:ascii="黑体" w:hAnsi="黑体" w:eastAsia="黑体"/>
                <w:b/>
                <w:sz w:val="28"/>
                <w:szCs w:val="28"/>
                <w:u w:val="single"/>
              </w:rPr>
              <w:t>信息披露将通过</w:t>
            </w:r>
            <w:r>
              <w:rPr>
                <w:rFonts w:hint="eastAsia" w:ascii="黑体" w:hAnsi="黑体" w:eastAsia="黑体"/>
                <w:b/>
                <w:sz w:val="28"/>
                <w:szCs w:val="28"/>
                <w:u w:val="single"/>
              </w:rPr>
              <w:t>华夏理财有限责任公司官方网站（www.hxwm.com.cn）、</w:t>
            </w:r>
            <w:r>
              <w:rPr>
                <w:rFonts w:ascii="黑体" w:hAnsi="黑体" w:eastAsia="黑体"/>
                <w:b/>
                <w:sz w:val="28"/>
                <w:szCs w:val="28"/>
                <w:u w:val="single"/>
              </w:rPr>
              <w:t>华夏银行</w:t>
            </w:r>
            <w:r>
              <w:rPr>
                <w:rFonts w:hint="eastAsia" w:ascii="黑体" w:hAnsi="黑体" w:eastAsia="黑体"/>
                <w:b/>
                <w:sz w:val="28"/>
                <w:szCs w:val="28"/>
                <w:u w:val="single"/>
              </w:rPr>
              <w:t>官方</w:t>
            </w:r>
            <w:r>
              <w:rPr>
                <w:rFonts w:ascii="黑体" w:hAnsi="黑体" w:eastAsia="黑体"/>
                <w:b/>
                <w:sz w:val="28"/>
                <w:szCs w:val="28"/>
                <w:u w:val="single"/>
              </w:rPr>
              <w:t>网站</w:t>
            </w:r>
            <w:r>
              <w:rPr>
                <w:rFonts w:hint="eastAsia" w:ascii="黑体" w:hAnsi="黑体" w:eastAsia="黑体"/>
                <w:b/>
                <w:sz w:val="28"/>
                <w:szCs w:val="28"/>
                <w:u w:val="single"/>
              </w:rPr>
              <w:t>、代理销售机构（如有）信息披露渠道等进行公告</w:t>
            </w:r>
            <w:r>
              <w:rPr>
                <w:rFonts w:ascii="黑体" w:hAnsi="黑体" w:eastAsia="黑体"/>
                <w:b/>
                <w:sz w:val="28"/>
                <w:szCs w:val="28"/>
                <w:u w:val="single"/>
              </w:rPr>
              <w:t>。</w:t>
            </w:r>
            <w:r>
              <w:rPr>
                <w:rFonts w:hint="eastAsia" w:ascii="黑体" w:hAnsi="黑体" w:eastAsia="黑体"/>
                <w:b/>
                <w:sz w:val="28"/>
                <w:szCs w:val="28"/>
                <w:u w:val="single"/>
              </w:rPr>
              <w:t>投资者在购买理财产品后，应随时关注本理财产品的信息披露情况，及时获取相关信息。</w:t>
            </w:r>
            <w:r>
              <w:rPr>
                <w:rFonts w:ascii="黑体" w:hAnsi="黑体" w:eastAsia="黑体"/>
                <w:b/>
                <w:sz w:val="28"/>
                <w:szCs w:val="28"/>
                <w:u w:val="single"/>
              </w:rPr>
              <w:t>如果投资者未及时查询</w:t>
            </w:r>
            <w:r>
              <w:rPr>
                <w:rFonts w:hint="eastAsia" w:ascii="黑体" w:hAnsi="黑体" w:eastAsia="黑体"/>
                <w:b/>
                <w:sz w:val="28"/>
                <w:szCs w:val="28"/>
                <w:u w:val="single"/>
              </w:rPr>
              <w:t>而未能</w:t>
            </w:r>
            <w:r>
              <w:rPr>
                <w:rFonts w:ascii="黑体" w:hAnsi="黑体" w:eastAsia="黑体"/>
                <w:b/>
                <w:sz w:val="28"/>
                <w:szCs w:val="28"/>
                <w:u w:val="single"/>
              </w:rPr>
              <w:t>及时了解</w:t>
            </w:r>
            <w:r>
              <w:rPr>
                <w:rFonts w:hint="eastAsia" w:ascii="黑体" w:hAnsi="黑体" w:eastAsia="黑体"/>
                <w:b/>
                <w:sz w:val="28"/>
                <w:szCs w:val="28"/>
                <w:u w:val="single"/>
              </w:rPr>
              <w:t>本理财产品</w:t>
            </w:r>
            <w:r>
              <w:rPr>
                <w:rFonts w:ascii="黑体" w:hAnsi="黑体" w:eastAsia="黑体"/>
                <w:b/>
                <w:sz w:val="28"/>
                <w:szCs w:val="28"/>
                <w:u w:val="single"/>
              </w:rPr>
              <w:t>信息，因此产生的责任和风险由投资者承担。</w:t>
            </w:r>
            <w:r>
              <w:rPr>
                <w:rFonts w:hint="eastAsia" w:ascii="黑体" w:hAnsi="黑体" w:eastAsia="黑体"/>
                <w:b/>
                <w:sz w:val="28"/>
                <w:szCs w:val="28"/>
                <w:u w:val="single"/>
              </w:rPr>
              <w:t>投资者如需进行业务咨询或投诉，请拨打华夏理财客户服务热线4001795577、华夏银行客户服务热线95577或其他代理销售机构客户服务热线。</w:t>
            </w:r>
          </w:p>
        </w:tc>
      </w:tr>
    </w:tbl>
    <w:p>
      <w:pPr>
        <w:pStyle w:val="6"/>
        <w:adjustRightInd w:val="0"/>
        <w:snapToGrid w:val="0"/>
        <w:spacing w:line="400" w:lineRule="exact"/>
        <w:ind w:firstLine="0"/>
        <w:jc w:val="center"/>
        <w:rPr>
          <w:rFonts w:eastAsia="黑体"/>
          <w:bCs/>
          <w:kern w:val="2"/>
          <w:sz w:val="36"/>
          <w:szCs w:val="36"/>
        </w:rPr>
      </w:pPr>
    </w:p>
    <w:p>
      <w:pPr>
        <w:pStyle w:val="6"/>
        <w:adjustRightInd w:val="0"/>
        <w:snapToGrid w:val="0"/>
        <w:spacing w:line="400" w:lineRule="exact"/>
        <w:ind w:firstLine="0"/>
        <w:jc w:val="center"/>
        <w:rPr>
          <w:rFonts w:eastAsia="黑体"/>
          <w:bCs/>
          <w:kern w:val="2"/>
          <w:sz w:val="36"/>
          <w:szCs w:val="36"/>
        </w:rPr>
      </w:pPr>
    </w:p>
    <w:p>
      <w:pPr>
        <w:pStyle w:val="22"/>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一、</w:t>
      </w:r>
      <w:r>
        <w:rPr>
          <w:rFonts w:ascii="Times New Roman" w:eastAsia="黑体" w:cs="Times New Roman"/>
          <w:b/>
          <w:color w:val="auto"/>
        </w:rPr>
        <w:t>产品概述</w:t>
      </w:r>
    </w:p>
    <w:tbl>
      <w:tblPr>
        <w:tblStyle w:val="11"/>
        <w:tblW w:w="9134"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30"/>
        <w:gridCol w:w="7404"/>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9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产品名称</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
                <w:bCs/>
                <w:szCs w:val="21"/>
              </w:rPr>
            </w:pPr>
            <w:r>
              <w:rPr>
                <w:rFonts w:hint="eastAsia" w:ascii="仿宋" w:hAnsi="仿宋" w:eastAsia="仿宋"/>
                <w:b/>
                <w:bCs/>
                <w:szCs w:val="21"/>
              </w:rPr>
              <w:t>华夏理财固定收益纯债最短持有7天理财产品A款</w:t>
            </w:r>
          </w:p>
          <w:p>
            <w:pPr>
              <w:adjustRightInd w:val="0"/>
              <w:snapToGrid w:val="0"/>
              <w:spacing w:line="240" w:lineRule="atLeast"/>
              <w:jc w:val="center"/>
              <w:rPr>
                <w:rFonts w:ascii="仿宋" w:hAnsi="仿宋" w:eastAsia="仿宋"/>
                <w:b/>
                <w:bCs/>
                <w:szCs w:val="21"/>
              </w:rPr>
            </w:pPr>
            <w:r>
              <w:rPr>
                <w:rFonts w:hint="eastAsia" w:ascii="仿宋" w:hAnsi="仿宋" w:eastAsia="仿宋"/>
                <w:b/>
                <w:bCs/>
                <w:szCs w:val="21"/>
              </w:rPr>
              <w:t>A份额简称：“华夏理财固收纯债最短持有7天A款A”</w:t>
            </w:r>
          </w:p>
          <w:p>
            <w:pPr>
              <w:adjustRightInd w:val="0"/>
              <w:snapToGrid w:val="0"/>
              <w:spacing w:line="240" w:lineRule="atLeast"/>
              <w:jc w:val="center"/>
              <w:rPr>
                <w:rFonts w:ascii="仿宋" w:hAnsi="仿宋" w:eastAsia="仿宋"/>
                <w:b/>
                <w:bCs/>
                <w:szCs w:val="21"/>
              </w:rPr>
            </w:pPr>
            <w:r>
              <w:rPr>
                <w:rFonts w:ascii="仿宋" w:hAnsi="仿宋" w:eastAsia="仿宋"/>
                <w:b/>
                <w:bCs/>
                <w:szCs w:val="21"/>
              </w:rPr>
              <w:t>B</w:t>
            </w:r>
            <w:r>
              <w:rPr>
                <w:rFonts w:hint="eastAsia" w:ascii="仿宋" w:hAnsi="仿宋" w:eastAsia="仿宋"/>
                <w:b/>
                <w:bCs/>
                <w:szCs w:val="21"/>
              </w:rPr>
              <w:t>份额简称：“华夏理财固收纯债最短持有7天A款</w:t>
            </w:r>
            <w:r>
              <w:rPr>
                <w:rFonts w:ascii="仿宋" w:hAnsi="仿宋" w:eastAsia="仿宋"/>
                <w:b/>
                <w:bCs/>
                <w:szCs w:val="21"/>
              </w:rPr>
              <w:t>B</w:t>
            </w:r>
            <w:r>
              <w:rPr>
                <w:rFonts w:hint="eastAsia" w:ascii="仿宋" w:hAnsi="仿宋" w:eastAsia="仿宋"/>
                <w:b/>
                <w:bCs/>
                <w:szCs w:val="21"/>
              </w:rPr>
              <w:t>”</w:t>
            </w:r>
          </w:p>
          <w:p>
            <w:pPr>
              <w:adjustRightInd w:val="0"/>
              <w:snapToGrid w:val="0"/>
              <w:spacing w:line="240" w:lineRule="atLeast"/>
              <w:jc w:val="center"/>
              <w:rPr>
                <w:rFonts w:ascii="仿宋" w:hAnsi="仿宋" w:eastAsia="仿宋"/>
                <w:b/>
                <w:bCs/>
                <w:szCs w:val="21"/>
              </w:rPr>
            </w:pPr>
            <w:r>
              <w:rPr>
                <w:rFonts w:ascii="仿宋" w:hAnsi="仿宋" w:eastAsia="仿宋"/>
                <w:b/>
                <w:bCs/>
                <w:szCs w:val="21"/>
              </w:rPr>
              <w:t>C</w:t>
            </w:r>
            <w:r>
              <w:rPr>
                <w:rFonts w:hint="eastAsia" w:ascii="仿宋" w:hAnsi="仿宋" w:eastAsia="仿宋"/>
                <w:b/>
                <w:bCs/>
                <w:szCs w:val="21"/>
              </w:rPr>
              <w:t>份额简称：“华夏理财固收纯债最短持有7天A款</w:t>
            </w:r>
            <w:r>
              <w:rPr>
                <w:rFonts w:ascii="仿宋" w:hAnsi="仿宋" w:eastAsia="仿宋"/>
                <w:b/>
                <w:bCs/>
                <w:szCs w:val="21"/>
              </w:rPr>
              <w:t>C</w:t>
            </w:r>
            <w:r>
              <w:rPr>
                <w:rFonts w:hint="eastAsia" w:ascii="仿宋" w:hAnsi="仿宋" w:eastAsia="仿宋"/>
                <w:b/>
                <w:bCs/>
                <w:szCs w:val="21"/>
              </w:rPr>
              <w:t>”</w:t>
            </w:r>
          </w:p>
          <w:p>
            <w:pPr>
              <w:adjustRightInd w:val="0"/>
              <w:snapToGrid w:val="0"/>
              <w:spacing w:line="240" w:lineRule="atLeast"/>
              <w:jc w:val="center"/>
              <w:rPr>
                <w:rFonts w:ascii="仿宋" w:hAnsi="仿宋" w:eastAsia="仿宋"/>
                <w:b/>
                <w:bCs/>
                <w:szCs w:val="21"/>
              </w:rPr>
            </w:pPr>
            <w:r>
              <w:rPr>
                <w:rFonts w:ascii="仿宋" w:hAnsi="仿宋" w:eastAsia="仿宋"/>
                <w:b/>
                <w:bCs/>
                <w:szCs w:val="21"/>
              </w:rPr>
              <w:t>D</w:t>
            </w:r>
            <w:r>
              <w:rPr>
                <w:rFonts w:hint="eastAsia" w:ascii="仿宋" w:hAnsi="仿宋" w:eastAsia="仿宋"/>
                <w:b/>
                <w:bCs/>
                <w:szCs w:val="21"/>
              </w:rPr>
              <w:t>份额简称：“华夏理财固收纯债最短持有7天A款</w:t>
            </w:r>
            <w:r>
              <w:rPr>
                <w:rFonts w:ascii="仿宋" w:hAnsi="仿宋" w:eastAsia="仿宋"/>
                <w:b/>
                <w:bCs/>
                <w:szCs w:val="21"/>
              </w:rPr>
              <w:t>D</w:t>
            </w:r>
            <w:r>
              <w:rPr>
                <w:rFonts w:hint="eastAsia" w:ascii="仿宋" w:hAnsi="仿宋" w:eastAsia="仿宋"/>
                <w:b/>
                <w:bCs/>
                <w:szCs w:val="21"/>
              </w:rPr>
              <w:t>”</w:t>
            </w:r>
          </w:p>
          <w:p>
            <w:pPr>
              <w:adjustRightInd w:val="0"/>
              <w:snapToGrid w:val="0"/>
              <w:spacing w:line="240" w:lineRule="atLeast"/>
              <w:jc w:val="center"/>
              <w:rPr>
                <w:rFonts w:ascii="仿宋" w:hAnsi="仿宋" w:eastAsia="仿宋"/>
                <w:b/>
                <w:bCs/>
                <w:szCs w:val="21"/>
              </w:rPr>
            </w:pPr>
            <w:r>
              <w:rPr>
                <w:rFonts w:hint="eastAsia" w:ascii="仿宋" w:hAnsi="仿宋" w:eastAsia="仿宋"/>
                <w:b/>
                <w:bCs/>
                <w:szCs w:val="21"/>
              </w:rPr>
              <w:t>H份额简称：“华夏理财固收纯债最短持有7天A款H”</w:t>
            </w:r>
          </w:p>
          <w:p>
            <w:pPr>
              <w:adjustRightInd w:val="0"/>
              <w:snapToGrid w:val="0"/>
              <w:spacing w:line="240" w:lineRule="atLeast"/>
              <w:jc w:val="center"/>
              <w:rPr>
                <w:rFonts w:hint="eastAsia" w:ascii="仿宋" w:hAnsi="仿宋" w:eastAsia="仿宋"/>
                <w:b/>
                <w:bCs/>
                <w:szCs w:val="21"/>
              </w:rPr>
            </w:pPr>
            <w:r>
              <w:rPr>
                <w:rFonts w:ascii="仿宋" w:hAnsi="仿宋" w:eastAsia="仿宋"/>
                <w:b/>
                <w:bCs/>
                <w:szCs w:val="21"/>
              </w:rPr>
              <w:t>M</w:t>
            </w:r>
            <w:r>
              <w:rPr>
                <w:rFonts w:hint="eastAsia" w:ascii="仿宋" w:hAnsi="仿宋" w:eastAsia="仿宋"/>
                <w:b/>
                <w:bCs/>
                <w:szCs w:val="21"/>
              </w:rPr>
              <w:t>份额简称：“华夏理财固收纯债最短持有7天A款</w:t>
            </w:r>
            <w:r>
              <w:rPr>
                <w:rFonts w:ascii="仿宋" w:hAnsi="仿宋" w:eastAsia="仿宋"/>
                <w:b/>
                <w:bCs/>
                <w:szCs w:val="21"/>
              </w:rPr>
              <w:t>M</w:t>
            </w:r>
            <w:r>
              <w:rPr>
                <w:rFonts w:hint="eastAsia" w:ascii="仿宋" w:hAnsi="仿宋" w:eastAsia="仿宋"/>
                <w:b/>
                <w:bCs/>
                <w:szCs w:val="21"/>
              </w:rPr>
              <w:t>”</w:t>
            </w:r>
          </w:p>
          <w:p>
            <w:pPr>
              <w:adjustRightInd w:val="0"/>
              <w:snapToGrid w:val="0"/>
              <w:spacing w:line="240" w:lineRule="atLeast"/>
              <w:jc w:val="center"/>
              <w:rPr>
                <w:rFonts w:hint="eastAsia" w:ascii="仿宋" w:hAnsi="仿宋" w:eastAsia="仿宋"/>
                <w:b/>
                <w:bCs/>
                <w:szCs w:val="21"/>
              </w:rPr>
            </w:pPr>
            <w:r>
              <w:rPr>
                <w:rFonts w:hint="eastAsia" w:ascii="仿宋" w:hAnsi="仿宋" w:eastAsia="仿宋"/>
                <w:b/>
                <w:bCs/>
                <w:szCs w:val="21"/>
                <w:lang w:val="en-US" w:eastAsia="zh-CN"/>
              </w:rPr>
              <w:t>O</w:t>
            </w:r>
            <w:r>
              <w:rPr>
                <w:rFonts w:hint="eastAsia" w:ascii="仿宋" w:hAnsi="仿宋" w:eastAsia="仿宋"/>
                <w:b/>
                <w:bCs/>
                <w:szCs w:val="21"/>
              </w:rPr>
              <w:t>份额简称：“华夏理财固收纯债最短持有7天A款</w:t>
            </w:r>
            <w:r>
              <w:rPr>
                <w:rFonts w:hint="eastAsia" w:ascii="仿宋" w:hAnsi="仿宋" w:eastAsia="仿宋"/>
                <w:b/>
                <w:bCs/>
                <w:szCs w:val="21"/>
                <w:lang w:val="en-US" w:eastAsia="zh-CN"/>
              </w:rPr>
              <w:t>O</w:t>
            </w:r>
            <w:r>
              <w:rPr>
                <w:rFonts w:hint="eastAsia" w:ascii="仿宋" w:hAnsi="仿宋" w:eastAsia="仿宋"/>
                <w:b/>
                <w:bCs/>
                <w:szCs w:val="21"/>
              </w:rPr>
              <w:t>”</w:t>
            </w:r>
          </w:p>
          <w:p>
            <w:pPr>
              <w:adjustRightInd w:val="0"/>
              <w:snapToGrid w:val="0"/>
              <w:spacing w:line="240" w:lineRule="atLeast"/>
              <w:jc w:val="center"/>
              <w:rPr>
                <w:rFonts w:hint="eastAsia" w:ascii="仿宋" w:hAnsi="仿宋" w:eastAsia="仿宋"/>
                <w:b/>
                <w:bCs/>
                <w:szCs w:val="21"/>
              </w:rPr>
            </w:pPr>
            <w:r>
              <w:rPr>
                <w:rFonts w:hint="eastAsia" w:ascii="仿宋" w:hAnsi="仿宋" w:eastAsia="仿宋"/>
                <w:b/>
                <w:bCs/>
                <w:szCs w:val="21"/>
                <w:lang w:val="en-US" w:eastAsia="zh-CN"/>
              </w:rPr>
              <w:t>W</w:t>
            </w:r>
            <w:r>
              <w:rPr>
                <w:rFonts w:hint="eastAsia" w:ascii="仿宋" w:hAnsi="仿宋" w:eastAsia="仿宋"/>
                <w:b/>
                <w:bCs/>
                <w:szCs w:val="21"/>
              </w:rPr>
              <w:t>份额简称：“华夏理财固收纯债最短持有7天A款</w:t>
            </w:r>
            <w:r>
              <w:rPr>
                <w:rFonts w:hint="eastAsia" w:ascii="仿宋" w:hAnsi="仿宋" w:eastAsia="仿宋"/>
                <w:b/>
                <w:bCs/>
                <w:szCs w:val="21"/>
                <w:lang w:val="en-US" w:eastAsia="zh-CN"/>
              </w:rPr>
              <w:t>W</w:t>
            </w:r>
            <w:r>
              <w:rPr>
                <w:rFonts w:hint="eastAsia" w:ascii="仿宋" w:hAnsi="仿宋" w:eastAsia="仿宋"/>
                <w:b/>
                <w:bCs/>
                <w:szCs w:val="21"/>
              </w:rPr>
              <w:t>”</w:t>
            </w:r>
          </w:p>
          <w:p>
            <w:pPr>
              <w:adjustRightInd w:val="0"/>
              <w:snapToGrid w:val="0"/>
              <w:spacing w:line="240" w:lineRule="atLeast"/>
              <w:jc w:val="center"/>
              <w:rPr>
                <w:rFonts w:hint="eastAsia" w:ascii="仿宋" w:hAnsi="仿宋" w:eastAsia="仿宋"/>
                <w:b/>
                <w:bCs/>
                <w:szCs w:val="21"/>
              </w:rPr>
            </w:pPr>
            <w:r>
              <w:rPr>
                <w:rFonts w:hint="eastAsia" w:ascii="仿宋" w:hAnsi="仿宋" w:eastAsia="仿宋"/>
                <w:b/>
                <w:bCs/>
                <w:szCs w:val="21"/>
                <w:lang w:val="en-US" w:eastAsia="zh-CN"/>
              </w:rPr>
              <w:t>Y</w:t>
            </w:r>
            <w:r>
              <w:rPr>
                <w:rFonts w:hint="eastAsia" w:ascii="仿宋" w:hAnsi="仿宋" w:eastAsia="仿宋"/>
                <w:b/>
                <w:bCs/>
                <w:szCs w:val="21"/>
              </w:rPr>
              <w:t>份额简称：“华夏理财固收纯债最短持有7天A款</w:t>
            </w:r>
            <w:r>
              <w:rPr>
                <w:rFonts w:hint="eastAsia" w:ascii="仿宋" w:hAnsi="仿宋" w:eastAsia="仿宋"/>
                <w:b/>
                <w:bCs/>
                <w:szCs w:val="21"/>
                <w:lang w:val="en-US" w:eastAsia="zh-CN"/>
              </w:rPr>
              <w:t>Y</w:t>
            </w:r>
            <w:r>
              <w:rPr>
                <w:rFonts w:hint="eastAsia" w:ascii="仿宋" w:hAnsi="仿宋" w:eastAsia="仿宋"/>
                <w:b/>
                <w:bCs/>
                <w:szCs w:val="21"/>
              </w:rPr>
              <w:t>”</w:t>
            </w:r>
          </w:p>
          <w:p>
            <w:pPr>
              <w:adjustRightInd w:val="0"/>
              <w:snapToGrid w:val="0"/>
              <w:spacing w:line="240" w:lineRule="atLeast"/>
              <w:jc w:val="center"/>
              <w:rPr>
                <w:rFonts w:ascii="仿宋" w:hAnsi="仿宋" w:eastAsia="仿宋"/>
                <w:b/>
                <w:bCs/>
                <w:szCs w:val="21"/>
              </w:rPr>
            </w:pPr>
            <w:r>
              <w:rPr>
                <w:rFonts w:ascii="仿宋" w:hAnsi="仿宋" w:eastAsia="仿宋"/>
                <w:b/>
                <w:bCs/>
                <w:szCs w:val="21"/>
              </w:rPr>
              <w:t>Z</w:t>
            </w:r>
            <w:r>
              <w:rPr>
                <w:rFonts w:hint="eastAsia" w:ascii="仿宋" w:hAnsi="仿宋" w:eastAsia="仿宋"/>
                <w:b/>
                <w:bCs/>
                <w:szCs w:val="21"/>
              </w:rPr>
              <w:t>份额简称：“华夏理财固收纯债最短持有7天A款</w:t>
            </w:r>
            <w:r>
              <w:rPr>
                <w:rFonts w:ascii="仿宋" w:hAnsi="仿宋" w:eastAsia="仿宋"/>
                <w:b/>
                <w:bCs/>
                <w:szCs w:val="21"/>
              </w:rPr>
              <w:t>Z</w:t>
            </w:r>
            <w:r>
              <w:rPr>
                <w:rFonts w:hint="eastAsia"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22115003</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300" w:lineRule="exact"/>
              <w:jc w:val="center"/>
              <w:rPr>
                <w:rFonts w:ascii="仿宋" w:hAnsi="仿宋" w:eastAsia="仿宋"/>
                <w:bCs/>
                <w:szCs w:val="21"/>
              </w:rPr>
            </w:pPr>
            <w:r>
              <w:rPr>
                <w:rFonts w:hint="eastAsia" w:ascii="仿宋" w:hAnsi="仿宋" w:eastAsia="仿宋"/>
                <w:bCs/>
                <w:szCs w:val="21"/>
              </w:rPr>
              <w:t>销售代码</w:t>
            </w:r>
          </w:p>
        </w:tc>
        <w:tc>
          <w:tcPr>
            <w:tcW w:w="7404"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300" w:lineRule="exact"/>
              <w:jc w:val="center"/>
              <w:rPr>
                <w:rFonts w:ascii="仿宋" w:hAnsi="仿宋" w:eastAsia="仿宋"/>
                <w:bCs/>
                <w:szCs w:val="21"/>
              </w:rPr>
            </w:pPr>
            <w:r>
              <w:rPr>
                <w:rFonts w:hint="eastAsia" w:ascii="仿宋" w:hAnsi="仿宋" w:eastAsia="仿宋"/>
                <w:bCs/>
                <w:szCs w:val="21"/>
              </w:rPr>
              <w:t>A份额：</w:t>
            </w:r>
            <w:r>
              <w:rPr>
                <w:rFonts w:ascii="仿宋" w:hAnsi="仿宋" w:eastAsia="仿宋"/>
                <w:bCs/>
                <w:szCs w:val="21"/>
              </w:rPr>
              <w:t>22115003A</w:t>
            </w:r>
            <w:r>
              <w:rPr>
                <w:rFonts w:hint="eastAsia" w:ascii="仿宋" w:hAnsi="仿宋" w:eastAsia="仿宋"/>
                <w:bCs/>
                <w:szCs w:val="21"/>
              </w:rPr>
              <w:t>（面对华夏银行渠道销售）</w:t>
            </w:r>
          </w:p>
          <w:p>
            <w:pPr>
              <w:keepNext/>
              <w:adjustRightInd w:val="0"/>
              <w:snapToGrid w:val="0"/>
              <w:spacing w:line="300" w:lineRule="exact"/>
              <w:jc w:val="center"/>
              <w:rPr>
                <w:rFonts w:ascii="仿宋" w:hAnsi="仿宋" w:eastAsia="仿宋"/>
                <w:bCs/>
                <w:szCs w:val="21"/>
              </w:rPr>
            </w:pPr>
            <w:r>
              <w:rPr>
                <w:rFonts w:ascii="仿宋" w:hAnsi="仿宋" w:eastAsia="仿宋"/>
                <w:bCs/>
                <w:szCs w:val="21"/>
              </w:rPr>
              <w:t>B</w:t>
            </w:r>
            <w:r>
              <w:rPr>
                <w:rFonts w:hint="eastAsia" w:ascii="仿宋" w:hAnsi="仿宋" w:eastAsia="仿宋"/>
                <w:bCs/>
                <w:szCs w:val="21"/>
              </w:rPr>
              <w:t>份额：</w:t>
            </w:r>
            <w:r>
              <w:rPr>
                <w:rFonts w:ascii="仿宋" w:hAnsi="仿宋" w:eastAsia="仿宋"/>
                <w:bCs/>
                <w:szCs w:val="21"/>
              </w:rPr>
              <w:t>22115003B</w:t>
            </w:r>
          </w:p>
          <w:p>
            <w:pPr>
              <w:keepNext/>
              <w:adjustRightInd w:val="0"/>
              <w:snapToGrid w:val="0"/>
              <w:spacing w:line="300" w:lineRule="exact"/>
              <w:jc w:val="center"/>
              <w:rPr>
                <w:rFonts w:ascii="仿宋" w:hAnsi="仿宋" w:eastAsia="仿宋"/>
                <w:bCs/>
                <w:szCs w:val="21"/>
              </w:rPr>
            </w:pPr>
            <w:r>
              <w:rPr>
                <w:rFonts w:ascii="仿宋" w:hAnsi="仿宋" w:eastAsia="仿宋"/>
                <w:bCs/>
                <w:szCs w:val="21"/>
              </w:rPr>
              <w:t>C</w:t>
            </w:r>
            <w:r>
              <w:rPr>
                <w:rFonts w:hint="eastAsia" w:ascii="仿宋" w:hAnsi="仿宋" w:eastAsia="仿宋"/>
                <w:bCs/>
                <w:szCs w:val="21"/>
              </w:rPr>
              <w:t>份额：</w:t>
            </w:r>
            <w:r>
              <w:rPr>
                <w:rFonts w:ascii="仿宋" w:hAnsi="仿宋" w:eastAsia="仿宋"/>
                <w:bCs/>
                <w:szCs w:val="21"/>
              </w:rPr>
              <w:t>22115003C</w:t>
            </w:r>
            <w:r>
              <w:rPr>
                <w:rFonts w:hint="eastAsia" w:ascii="仿宋" w:hAnsi="仿宋" w:eastAsia="仿宋"/>
                <w:bCs/>
                <w:szCs w:val="21"/>
              </w:rPr>
              <w:t>（面对中信银行渠道销售）</w:t>
            </w:r>
          </w:p>
          <w:p>
            <w:pPr>
              <w:keepNext/>
              <w:adjustRightInd w:val="0"/>
              <w:snapToGrid w:val="0"/>
              <w:spacing w:line="300" w:lineRule="exact"/>
              <w:jc w:val="center"/>
              <w:rPr>
                <w:rFonts w:ascii="仿宋" w:hAnsi="仿宋" w:eastAsia="仿宋"/>
                <w:bCs/>
                <w:szCs w:val="21"/>
              </w:rPr>
            </w:pPr>
            <w:r>
              <w:rPr>
                <w:rFonts w:hint="eastAsia" w:ascii="仿宋" w:hAnsi="仿宋" w:eastAsia="仿宋"/>
                <w:bCs/>
                <w:szCs w:val="21"/>
              </w:rPr>
              <w:t>D份额：</w:t>
            </w:r>
            <w:r>
              <w:rPr>
                <w:rFonts w:ascii="仿宋" w:hAnsi="仿宋" w:eastAsia="仿宋"/>
                <w:bCs/>
                <w:szCs w:val="21"/>
              </w:rPr>
              <w:t>22115003D</w:t>
            </w:r>
            <w:r>
              <w:rPr>
                <w:rFonts w:hint="eastAsia" w:ascii="仿宋" w:hAnsi="仿宋" w:eastAsia="仿宋"/>
                <w:bCs/>
                <w:szCs w:val="21"/>
              </w:rPr>
              <w:t>（面对招商银行渠道销售，招商银行销售代码：HX0</w:t>
            </w:r>
            <w:r>
              <w:rPr>
                <w:rFonts w:ascii="仿宋" w:hAnsi="仿宋" w:eastAsia="仿宋"/>
                <w:bCs/>
                <w:szCs w:val="21"/>
              </w:rPr>
              <w:t>4</w:t>
            </w:r>
            <w:r>
              <w:rPr>
                <w:rFonts w:hint="eastAsia" w:ascii="仿宋" w:hAnsi="仿宋" w:eastAsia="仿宋"/>
                <w:bCs/>
                <w:szCs w:val="21"/>
              </w:rPr>
              <w:t>02</w:t>
            </w:r>
            <w:r>
              <w:rPr>
                <w:rFonts w:ascii="仿宋" w:hAnsi="仿宋" w:eastAsia="仿宋"/>
                <w:bCs/>
                <w:szCs w:val="21"/>
              </w:rPr>
              <w:t>02</w:t>
            </w:r>
            <w:r>
              <w:rPr>
                <w:rFonts w:hint="eastAsia" w:ascii="仿宋" w:hAnsi="仿宋" w:eastAsia="仿宋"/>
                <w:bCs/>
                <w:szCs w:val="21"/>
              </w:rPr>
              <w:t>）</w:t>
            </w:r>
          </w:p>
          <w:p>
            <w:pPr>
              <w:keepNext/>
              <w:adjustRightInd w:val="0"/>
              <w:snapToGrid w:val="0"/>
              <w:spacing w:line="300" w:lineRule="exact"/>
              <w:jc w:val="center"/>
              <w:rPr>
                <w:rFonts w:ascii="仿宋" w:hAnsi="仿宋" w:eastAsia="仿宋"/>
                <w:bCs/>
                <w:szCs w:val="21"/>
              </w:rPr>
            </w:pPr>
            <w:r>
              <w:rPr>
                <w:rFonts w:hint="eastAsia" w:ascii="仿宋" w:hAnsi="仿宋" w:eastAsia="仿宋"/>
                <w:bCs/>
                <w:szCs w:val="21"/>
              </w:rPr>
              <w:t>H份额：</w:t>
            </w:r>
            <w:r>
              <w:rPr>
                <w:rFonts w:ascii="仿宋" w:hAnsi="仿宋" w:eastAsia="仿宋"/>
                <w:bCs/>
                <w:szCs w:val="21"/>
              </w:rPr>
              <w:t>22115003</w:t>
            </w:r>
            <w:r>
              <w:rPr>
                <w:rFonts w:hint="eastAsia" w:ascii="仿宋" w:hAnsi="仿宋" w:eastAsia="仿宋"/>
                <w:bCs/>
                <w:szCs w:val="21"/>
              </w:rPr>
              <w:t>H（面对华夏银行高净值客户销售）</w:t>
            </w:r>
          </w:p>
          <w:p>
            <w:pPr>
              <w:keepNext/>
              <w:adjustRightInd w:val="0"/>
              <w:snapToGrid w:val="0"/>
              <w:spacing w:line="300" w:lineRule="exact"/>
              <w:jc w:val="center"/>
              <w:rPr>
                <w:rFonts w:hint="eastAsia" w:ascii="仿宋" w:hAnsi="仿宋" w:eastAsia="仿宋"/>
                <w:bCs/>
                <w:szCs w:val="21"/>
              </w:rPr>
            </w:pPr>
            <w:r>
              <w:rPr>
                <w:rFonts w:ascii="仿宋" w:hAnsi="仿宋" w:eastAsia="仿宋"/>
                <w:bCs/>
                <w:szCs w:val="21"/>
              </w:rPr>
              <w:t>M</w:t>
            </w:r>
            <w:r>
              <w:rPr>
                <w:rFonts w:hint="eastAsia" w:ascii="仿宋" w:hAnsi="仿宋" w:eastAsia="仿宋"/>
                <w:bCs/>
                <w:szCs w:val="21"/>
              </w:rPr>
              <w:t>份额：</w:t>
            </w:r>
            <w:r>
              <w:rPr>
                <w:rFonts w:ascii="仿宋" w:hAnsi="仿宋" w:eastAsia="仿宋"/>
                <w:bCs/>
                <w:szCs w:val="21"/>
              </w:rPr>
              <w:t>22115003M</w:t>
            </w:r>
            <w:r>
              <w:rPr>
                <w:rFonts w:hint="eastAsia" w:ascii="仿宋" w:hAnsi="仿宋" w:eastAsia="仿宋"/>
                <w:bCs/>
                <w:szCs w:val="21"/>
              </w:rPr>
              <w:t>（面对民生银行客户销售）</w:t>
            </w:r>
          </w:p>
          <w:p>
            <w:pPr>
              <w:keepNext/>
              <w:adjustRightInd w:val="0"/>
              <w:snapToGrid w:val="0"/>
              <w:spacing w:line="300" w:lineRule="exact"/>
              <w:jc w:val="center"/>
              <w:rPr>
                <w:rFonts w:hint="eastAsia" w:ascii="仿宋" w:hAnsi="仿宋" w:eastAsia="仿宋"/>
                <w:bCs/>
                <w:szCs w:val="21"/>
              </w:rPr>
            </w:pPr>
            <w:r>
              <w:rPr>
                <w:rFonts w:hint="eastAsia" w:ascii="仿宋" w:hAnsi="仿宋" w:eastAsia="仿宋"/>
                <w:bCs/>
                <w:szCs w:val="21"/>
                <w:lang w:val="en-US" w:eastAsia="zh-CN"/>
              </w:rPr>
              <w:t>O</w:t>
            </w:r>
            <w:r>
              <w:rPr>
                <w:rFonts w:hint="eastAsia" w:ascii="仿宋" w:hAnsi="仿宋" w:eastAsia="仿宋"/>
                <w:bCs/>
                <w:szCs w:val="21"/>
              </w:rPr>
              <w:t>份额：</w:t>
            </w:r>
            <w:r>
              <w:rPr>
                <w:rFonts w:ascii="仿宋" w:hAnsi="仿宋" w:eastAsia="仿宋"/>
                <w:bCs/>
                <w:szCs w:val="21"/>
              </w:rPr>
              <w:t>2211500</w:t>
            </w:r>
            <w:r>
              <w:rPr>
                <w:rFonts w:hint="eastAsia" w:ascii="仿宋" w:hAnsi="仿宋" w:eastAsia="仿宋"/>
                <w:bCs/>
                <w:szCs w:val="21"/>
                <w:lang w:val="en-US" w:eastAsia="zh-CN"/>
              </w:rPr>
              <w:t>3O</w:t>
            </w:r>
            <w:r>
              <w:rPr>
                <w:rFonts w:hint="eastAsia" w:ascii="仿宋" w:hAnsi="仿宋" w:eastAsia="仿宋"/>
                <w:bCs/>
                <w:szCs w:val="21"/>
              </w:rPr>
              <w:t>（面对</w:t>
            </w:r>
            <w:r>
              <w:rPr>
                <w:rFonts w:hint="eastAsia" w:ascii="仿宋" w:hAnsi="仿宋" w:eastAsia="仿宋"/>
                <w:bCs/>
                <w:szCs w:val="21"/>
                <w:lang w:val="en-US" w:eastAsia="zh-CN"/>
              </w:rPr>
              <w:t>宁波</w:t>
            </w:r>
            <w:r>
              <w:rPr>
                <w:rFonts w:hint="eastAsia" w:ascii="仿宋" w:hAnsi="仿宋" w:eastAsia="仿宋"/>
                <w:bCs/>
                <w:szCs w:val="21"/>
              </w:rPr>
              <w:t>银行</w:t>
            </w:r>
            <w:r>
              <w:rPr>
                <w:rFonts w:hint="eastAsia" w:ascii="仿宋" w:hAnsi="仿宋" w:eastAsia="仿宋"/>
                <w:bCs/>
                <w:szCs w:val="21"/>
                <w:lang w:val="en-US" w:eastAsia="zh-CN"/>
              </w:rPr>
              <w:t>渠道</w:t>
            </w:r>
            <w:r>
              <w:rPr>
                <w:rFonts w:hint="eastAsia" w:ascii="仿宋" w:hAnsi="仿宋" w:eastAsia="仿宋"/>
                <w:bCs/>
                <w:szCs w:val="21"/>
              </w:rPr>
              <w:t>销售）</w:t>
            </w:r>
          </w:p>
          <w:p>
            <w:pPr>
              <w:keepNext/>
              <w:adjustRightInd w:val="0"/>
              <w:snapToGrid w:val="0"/>
              <w:spacing w:line="300" w:lineRule="exact"/>
              <w:jc w:val="center"/>
              <w:rPr>
                <w:rFonts w:hint="eastAsia" w:ascii="仿宋" w:hAnsi="仿宋" w:eastAsia="仿宋"/>
                <w:bCs/>
                <w:szCs w:val="21"/>
              </w:rPr>
            </w:pPr>
            <w:r>
              <w:rPr>
                <w:rFonts w:hint="eastAsia" w:ascii="仿宋" w:hAnsi="仿宋" w:eastAsia="仿宋"/>
                <w:bCs/>
                <w:szCs w:val="21"/>
                <w:lang w:val="en-US" w:eastAsia="zh-CN"/>
              </w:rPr>
              <w:t>W</w:t>
            </w:r>
            <w:r>
              <w:rPr>
                <w:rFonts w:hint="eastAsia" w:ascii="仿宋" w:hAnsi="仿宋" w:eastAsia="仿宋"/>
                <w:bCs/>
                <w:szCs w:val="21"/>
              </w:rPr>
              <w:t>份额：</w:t>
            </w:r>
            <w:r>
              <w:rPr>
                <w:rFonts w:ascii="仿宋" w:hAnsi="仿宋" w:eastAsia="仿宋"/>
                <w:bCs/>
                <w:szCs w:val="21"/>
              </w:rPr>
              <w:t>2211500</w:t>
            </w:r>
            <w:r>
              <w:rPr>
                <w:rFonts w:hint="eastAsia" w:ascii="仿宋" w:hAnsi="仿宋" w:eastAsia="仿宋"/>
                <w:bCs/>
                <w:szCs w:val="21"/>
                <w:lang w:val="en-US" w:eastAsia="zh-CN"/>
              </w:rPr>
              <w:t>3W</w:t>
            </w:r>
            <w:r>
              <w:rPr>
                <w:rFonts w:hint="eastAsia" w:ascii="仿宋" w:hAnsi="仿宋" w:eastAsia="仿宋"/>
                <w:bCs/>
                <w:szCs w:val="21"/>
              </w:rPr>
              <w:t>（面对</w:t>
            </w:r>
            <w:r>
              <w:rPr>
                <w:rFonts w:hint="eastAsia" w:ascii="仿宋" w:hAnsi="仿宋" w:eastAsia="仿宋"/>
                <w:bCs/>
                <w:szCs w:val="21"/>
                <w:lang w:val="en-US" w:eastAsia="zh-CN"/>
              </w:rPr>
              <w:t>网商</w:t>
            </w:r>
            <w:r>
              <w:rPr>
                <w:rFonts w:hint="eastAsia" w:ascii="仿宋" w:hAnsi="仿宋" w:eastAsia="仿宋"/>
                <w:bCs/>
                <w:szCs w:val="21"/>
              </w:rPr>
              <w:t>银行</w:t>
            </w:r>
            <w:r>
              <w:rPr>
                <w:rFonts w:hint="eastAsia" w:ascii="仿宋" w:hAnsi="仿宋" w:eastAsia="仿宋"/>
                <w:bCs/>
                <w:szCs w:val="21"/>
                <w:lang w:val="en-US" w:eastAsia="zh-CN"/>
              </w:rPr>
              <w:t>渠道</w:t>
            </w:r>
            <w:r>
              <w:rPr>
                <w:rFonts w:hint="eastAsia" w:ascii="仿宋" w:hAnsi="仿宋" w:eastAsia="仿宋"/>
                <w:bCs/>
                <w:szCs w:val="21"/>
              </w:rPr>
              <w:t>销售）</w:t>
            </w:r>
          </w:p>
          <w:p>
            <w:pPr>
              <w:keepNext/>
              <w:adjustRightInd w:val="0"/>
              <w:snapToGrid w:val="0"/>
              <w:spacing w:line="300" w:lineRule="exact"/>
              <w:jc w:val="center"/>
              <w:rPr>
                <w:rFonts w:hint="eastAsia" w:ascii="仿宋" w:hAnsi="仿宋" w:eastAsia="仿宋"/>
                <w:bCs/>
                <w:szCs w:val="21"/>
              </w:rPr>
            </w:pPr>
            <w:r>
              <w:rPr>
                <w:rFonts w:hint="eastAsia" w:ascii="仿宋" w:hAnsi="仿宋" w:eastAsia="仿宋"/>
                <w:bCs/>
                <w:szCs w:val="21"/>
                <w:lang w:val="en-US" w:eastAsia="zh-CN"/>
              </w:rPr>
              <w:t>Y</w:t>
            </w:r>
            <w:r>
              <w:rPr>
                <w:rFonts w:hint="eastAsia" w:ascii="仿宋" w:hAnsi="仿宋" w:eastAsia="仿宋"/>
                <w:bCs/>
                <w:szCs w:val="21"/>
              </w:rPr>
              <w:t>份额：</w:t>
            </w:r>
            <w:r>
              <w:rPr>
                <w:rFonts w:ascii="仿宋" w:hAnsi="仿宋" w:eastAsia="仿宋"/>
                <w:bCs/>
                <w:szCs w:val="21"/>
              </w:rPr>
              <w:t>2211500</w:t>
            </w:r>
            <w:r>
              <w:rPr>
                <w:rFonts w:hint="eastAsia" w:ascii="仿宋" w:hAnsi="仿宋" w:eastAsia="仿宋"/>
                <w:bCs/>
                <w:szCs w:val="21"/>
                <w:lang w:val="en-US" w:eastAsia="zh-CN"/>
              </w:rPr>
              <w:t>3Y</w:t>
            </w:r>
            <w:r>
              <w:rPr>
                <w:rFonts w:hint="eastAsia" w:ascii="仿宋" w:hAnsi="仿宋" w:eastAsia="仿宋"/>
                <w:bCs/>
                <w:szCs w:val="21"/>
              </w:rPr>
              <w:t>（面对华夏</w:t>
            </w:r>
            <w:r>
              <w:rPr>
                <w:rFonts w:ascii="仿宋" w:hAnsi="仿宋" w:eastAsia="仿宋"/>
                <w:bCs/>
                <w:szCs w:val="21"/>
              </w:rPr>
              <w:t>理财直销</w:t>
            </w:r>
            <w:r>
              <w:rPr>
                <w:rFonts w:hint="eastAsia" w:ascii="仿宋" w:hAnsi="仿宋" w:eastAsia="仿宋"/>
                <w:bCs/>
                <w:szCs w:val="21"/>
                <w:lang w:val="en-US" w:eastAsia="zh-CN"/>
              </w:rPr>
              <w:t>渠道</w:t>
            </w:r>
            <w:r>
              <w:rPr>
                <w:rFonts w:hint="eastAsia" w:ascii="仿宋" w:hAnsi="仿宋" w:eastAsia="仿宋"/>
                <w:bCs/>
                <w:szCs w:val="21"/>
              </w:rPr>
              <w:t>销售）</w:t>
            </w:r>
          </w:p>
          <w:p>
            <w:pPr>
              <w:keepNext/>
              <w:adjustRightInd w:val="0"/>
              <w:snapToGrid w:val="0"/>
              <w:spacing w:line="300" w:lineRule="exact"/>
              <w:jc w:val="center"/>
              <w:rPr>
                <w:rFonts w:ascii="仿宋" w:hAnsi="仿宋" w:eastAsia="仿宋"/>
                <w:bCs/>
                <w:szCs w:val="21"/>
              </w:rPr>
            </w:pPr>
            <w:r>
              <w:rPr>
                <w:rFonts w:ascii="仿宋" w:hAnsi="仿宋" w:eastAsia="仿宋"/>
                <w:bCs/>
                <w:szCs w:val="21"/>
              </w:rPr>
              <w:t>Z</w:t>
            </w:r>
            <w:r>
              <w:rPr>
                <w:rFonts w:hint="eastAsia" w:ascii="仿宋" w:hAnsi="仿宋" w:eastAsia="仿宋"/>
                <w:bCs/>
                <w:szCs w:val="21"/>
              </w:rPr>
              <w:t>份额：</w:t>
            </w:r>
            <w:r>
              <w:rPr>
                <w:rFonts w:ascii="仿宋" w:hAnsi="仿宋" w:eastAsia="仿宋"/>
                <w:bCs/>
                <w:szCs w:val="21"/>
              </w:rPr>
              <w:t>22115003Z</w:t>
            </w:r>
            <w:r>
              <w:rPr>
                <w:rFonts w:hint="eastAsia" w:ascii="仿宋" w:hAnsi="仿宋" w:eastAsia="仿宋"/>
                <w:bCs/>
                <w:szCs w:val="21"/>
              </w:rPr>
              <w:t>（面对华夏</w:t>
            </w:r>
            <w:r>
              <w:rPr>
                <w:rFonts w:ascii="仿宋" w:hAnsi="仿宋" w:eastAsia="仿宋"/>
                <w:bCs/>
                <w:szCs w:val="21"/>
              </w:rPr>
              <w:t>理财直销渠道</w:t>
            </w:r>
            <w:r>
              <w:rPr>
                <w:rFonts w:hint="eastAsia" w:ascii="仿宋" w:hAnsi="仿宋" w:eastAsia="仿宋"/>
                <w:bCs/>
                <w:szCs w:val="21"/>
              </w:rPr>
              <w:t>销售）</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全国银行业理财信息登记系统登记编码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Z7003922000023</w:t>
            </w:r>
          </w:p>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投资者可以依据该登记编码在中国理财网（www.chinawealth.com.cn）查询产品信息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产品管理人</w:t>
            </w:r>
          </w:p>
          <w:p>
            <w:pPr>
              <w:adjustRightInd w:val="0"/>
              <w:snapToGrid w:val="0"/>
              <w:spacing w:line="240" w:lineRule="atLeast"/>
              <w:jc w:val="center"/>
              <w:rPr>
                <w:rFonts w:ascii="仿宋" w:hAnsi="仿宋" w:eastAsia="仿宋"/>
                <w:bCs/>
                <w:szCs w:val="21"/>
              </w:rPr>
            </w:pPr>
            <w:r>
              <w:rPr>
                <w:rFonts w:hint="eastAsia" w:ascii="仿宋" w:hAnsi="仿宋" w:eastAsia="仿宋"/>
                <w:bCs/>
                <w:szCs w:val="21"/>
              </w:rPr>
              <w:t>/管理人</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华夏理财</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产品募集方式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公募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产品运作模式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开放式净值型</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产品投资性质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固定</w:t>
            </w:r>
            <w:r>
              <w:rPr>
                <w:rFonts w:ascii="仿宋" w:hAnsi="仿宋" w:eastAsia="仿宋"/>
                <w:bCs/>
                <w:szCs w:val="21"/>
              </w:rPr>
              <w:t>收益类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产品收益</w:t>
            </w:r>
            <w:r>
              <w:rPr>
                <w:rFonts w:ascii="仿宋" w:hAnsi="仿宋" w:eastAsia="仿宋"/>
                <w:bCs/>
                <w:szCs w:val="21"/>
              </w:rPr>
              <w:t>类型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非保本浮动收益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投资及收益币种</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人民币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产品风险评级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根据华夏</w:t>
            </w:r>
            <w:r>
              <w:rPr>
                <w:rFonts w:hint="eastAsia" w:ascii="仿宋" w:hAnsi="仿宋" w:eastAsia="仿宋"/>
                <w:bCs/>
                <w:szCs w:val="21"/>
              </w:rPr>
              <w:t>理财</w:t>
            </w:r>
            <w:r>
              <w:rPr>
                <w:rFonts w:ascii="仿宋" w:hAnsi="仿宋" w:eastAsia="仿宋"/>
                <w:bCs/>
                <w:szCs w:val="21"/>
              </w:rPr>
              <w:t>产品风险评级，本产品为</w:t>
            </w:r>
            <w:r>
              <w:rPr>
                <w:rFonts w:hint="eastAsia" w:ascii="仿宋" w:hAnsi="仿宋" w:eastAsia="仿宋"/>
                <w:bCs/>
                <w:szCs w:val="21"/>
              </w:rPr>
              <w:t xml:space="preserve"> </w:t>
            </w:r>
            <w:r>
              <w:rPr>
                <w:rFonts w:hint="eastAsia" w:ascii="仿宋" w:hAnsi="仿宋" w:eastAsia="仿宋"/>
                <w:bCs/>
                <w:szCs w:val="21"/>
                <w:u w:val="single"/>
              </w:rPr>
              <w:t>PR1级（低风险）</w:t>
            </w:r>
            <w:r>
              <w:rPr>
                <w:rFonts w:ascii="仿宋" w:hAnsi="仿宋" w:eastAsia="仿宋"/>
                <w:bCs/>
                <w:szCs w:val="21"/>
              </w:rPr>
              <w:t xml:space="preserve"> 理财产品。</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理财产品风险</w:t>
            </w:r>
            <w:r>
              <w:rPr>
                <w:rFonts w:hint="eastAsia" w:ascii="仿宋" w:hAnsi="仿宋" w:eastAsia="仿宋"/>
                <w:bCs/>
                <w:szCs w:val="21"/>
              </w:rPr>
              <w:t>评</w:t>
            </w:r>
            <w:r>
              <w:rPr>
                <w:rFonts w:ascii="仿宋" w:hAnsi="仿宋" w:eastAsia="仿宋"/>
                <w:bCs/>
                <w:szCs w:val="21"/>
              </w:rPr>
              <w:t>级</w:t>
            </w:r>
            <w:r>
              <w:rPr>
                <w:rFonts w:hint="eastAsia" w:ascii="仿宋" w:hAnsi="仿宋" w:eastAsia="仿宋"/>
                <w:bCs/>
                <w:szCs w:val="21"/>
              </w:rPr>
              <w:t>分</w:t>
            </w:r>
            <w:r>
              <w:rPr>
                <w:rFonts w:ascii="仿宋" w:hAnsi="仿宋" w:eastAsia="仿宋"/>
                <w:bCs/>
                <w:szCs w:val="21"/>
              </w:rPr>
              <w:t>为：</w:t>
            </w:r>
            <w:r>
              <w:rPr>
                <w:rFonts w:hint="eastAsia" w:ascii="仿宋" w:hAnsi="仿宋" w:eastAsia="仿宋"/>
                <w:bCs/>
                <w:szCs w:val="21"/>
              </w:rPr>
              <w:t>PR1级（低风险）、PR2级（中低风险）、PR3级（中等风险）、PR4级（中高风险）、PR5级（高风险）</w:t>
            </w:r>
            <w:r>
              <w:rPr>
                <w:rFonts w:ascii="仿宋" w:hAnsi="仿宋" w:eastAsia="仿宋"/>
                <w:bCs/>
                <w:szCs w:val="21"/>
              </w:rPr>
              <w:t>。</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本理财产品风险评级为华夏理财自主评定，仅供参考。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产品销售评级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
                <w:bCs/>
                <w:szCs w:val="21"/>
              </w:rPr>
            </w:pPr>
            <w:r>
              <w:rPr>
                <w:rFonts w:hint="eastAsia" w:ascii="仿宋" w:hAnsi="仿宋" w:eastAsia="仿宋"/>
                <w:bCs/>
                <w:szCs w:val="21"/>
              </w:rPr>
              <w:t>本理财产品通过代理销售机构（以下简称“代销机构”）渠道销售的，理财产品评级应当以代销机构最终披露的评级结果为准。代销机构</w:t>
            </w:r>
            <w:r>
              <w:rPr>
                <w:rFonts w:hint="eastAsia" w:ascii="仿宋" w:hAnsi="仿宋" w:eastAsia="仿宋"/>
                <w:szCs w:val="21"/>
              </w:rPr>
              <w:t>如与华夏理财产品风险评级结果不一致，应当采用对应较高风险等级的评级结果</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销售</w:t>
            </w:r>
            <w:r>
              <w:rPr>
                <w:rFonts w:ascii="仿宋" w:hAnsi="仿宋" w:eastAsia="仿宋"/>
                <w:bCs/>
                <w:szCs w:val="21"/>
              </w:rPr>
              <w:t>对象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个人投资</w:t>
            </w:r>
            <w:r>
              <w:rPr>
                <w:rFonts w:ascii="仿宋" w:hAnsi="仿宋" w:eastAsia="仿宋"/>
                <w:bCs/>
                <w:szCs w:val="21"/>
              </w:rPr>
              <w:t>者</w:t>
            </w:r>
            <w:r>
              <w:rPr>
                <w:rFonts w:hint="eastAsia" w:ascii="仿宋" w:hAnsi="仿宋" w:eastAsia="仿宋"/>
                <w:bCs/>
                <w:szCs w:val="21"/>
              </w:rPr>
              <w:t>、</w:t>
            </w:r>
            <w:r>
              <w:rPr>
                <w:rFonts w:ascii="仿宋" w:hAnsi="仿宋" w:eastAsia="仿宋"/>
                <w:bCs/>
                <w:szCs w:val="21"/>
              </w:rPr>
              <w:t>机构投资者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适合投资者</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面向不特定社会公众销售，经</w:t>
            </w:r>
            <w:r>
              <w:rPr>
                <w:rFonts w:hint="eastAsia" w:ascii="仿宋" w:hAnsi="仿宋" w:eastAsia="仿宋"/>
                <w:bCs/>
                <w:szCs w:val="21"/>
              </w:rPr>
              <w:t>华夏理财</w:t>
            </w:r>
            <w:r>
              <w:rPr>
                <w:rFonts w:ascii="仿宋" w:hAnsi="仿宋" w:eastAsia="仿宋"/>
                <w:bCs/>
                <w:szCs w:val="21"/>
              </w:rPr>
              <w:t>风险评估评定为</w:t>
            </w:r>
            <w:r>
              <w:rPr>
                <w:rFonts w:ascii="仿宋" w:hAnsi="仿宋" w:eastAsia="仿宋"/>
                <w:bCs/>
                <w:szCs w:val="21"/>
                <w:u w:val="none"/>
              </w:rPr>
              <w:t xml:space="preserve"> </w:t>
            </w:r>
            <w:r>
              <w:rPr>
                <w:rFonts w:hint="eastAsia" w:ascii="仿宋" w:hAnsi="仿宋" w:eastAsia="仿宋"/>
                <w:bCs/>
                <w:color w:val="000000"/>
                <w:szCs w:val="21"/>
                <w:u w:val="single"/>
              </w:rPr>
              <w:t>CR1（谨慎型）、CR2（稳健型）、CR3（平衡型）、CR4（进取型）、CR5（激进型）</w:t>
            </w:r>
            <w:r>
              <w:rPr>
                <w:rFonts w:ascii="仿宋" w:hAnsi="仿宋" w:eastAsia="仿宋"/>
                <w:bCs/>
                <w:szCs w:val="21"/>
                <w:u w:val="none"/>
              </w:rPr>
              <w:t xml:space="preserve"> </w:t>
            </w:r>
            <w:r>
              <w:rPr>
                <w:rFonts w:hint="eastAsia" w:ascii="仿宋" w:hAnsi="仿宋" w:eastAsia="仿宋"/>
                <w:bCs/>
                <w:szCs w:val="21"/>
              </w:rPr>
              <w:t>的个人投资者。</w:t>
            </w:r>
            <w:r>
              <w:rPr>
                <w:rFonts w:hint="eastAsia" w:ascii="仿宋" w:hAnsi="仿宋" w:eastAsia="仿宋"/>
                <w:bCs/>
                <w:color w:val="000000"/>
                <w:szCs w:val="21"/>
              </w:rPr>
              <w:t>客户风险承受能力评级类型分为：CR1（谨慎型）、CR2（稳健型）、CR3（平衡型）、CR4（进取型）、CR5（激进型）</w:t>
            </w:r>
            <w:r>
              <w:rPr>
                <w:rFonts w:ascii="仿宋" w:hAnsi="仿宋" w:eastAsia="仿宋"/>
                <w:bCs/>
                <w:color w:val="000000"/>
                <w:szCs w:val="21"/>
              </w:rPr>
              <w:t>。</w:t>
            </w:r>
          </w:p>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w:t>
            </w:r>
            <w:r>
              <w:rPr>
                <w:rFonts w:hint="eastAsia" w:ascii="仿宋" w:hAnsi="仿宋" w:eastAsia="仿宋"/>
                <w:bCs/>
                <w:szCs w:val="21"/>
              </w:rPr>
              <w:t>，包括</w:t>
            </w:r>
            <w:r>
              <w:rPr>
                <w:rFonts w:ascii="仿宋" w:hAnsi="仿宋" w:eastAsia="仿宋"/>
                <w:bCs/>
                <w:szCs w:val="21"/>
              </w:rPr>
              <w:t>法人</w:t>
            </w:r>
            <w:r>
              <w:rPr>
                <w:rFonts w:hint="eastAsia" w:ascii="仿宋" w:hAnsi="仿宋" w:eastAsia="仿宋"/>
                <w:bCs/>
                <w:szCs w:val="21"/>
              </w:rPr>
              <w:t>或</w:t>
            </w:r>
            <w:r>
              <w:rPr>
                <w:rFonts w:ascii="仿宋" w:hAnsi="仿宋" w:eastAsia="仿宋"/>
                <w:bCs/>
                <w:szCs w:val="21"/>
              </w:rPr>
              <w:t>依法成立的其他组织。</w:t>
            </w:r>
          </w:p>
          <w:p>
            <w:pPr>
              <w:adjustRightInd w:val="0"/>
              <w:snapToGrid w:val="0"/>
              <w:spacing w:line="240" w:lineRule="atLeast"/>
              <w:ind w:firstLine="420" w:firstLineChars="200"/>
              <w:rPr>
                <w:rFonts w:ascii="仿宋" w:hAnsi="仿宋" w:eastAsia="仿宋"/>
                <w:b/>
                <w:bCs/>
                <w:color w:val="000000"/>
                <w:szCs w:val="21"/>
              </w:rPr>
            </w:pPr>
            <w:r>
              <w:rPr>
                <w:rFonts w:hint="eastAsia" w:ascii="仿宋" w:hAnsi="仿宋" w:eastAsia="仿宋"/>
                <w:bCs/>
                <w:szCs w:val="21"/>
              </w:rPr>
              <w:t>通过代销机构购买的，适合投资者及投资者风险承受能力评估结果以代销机构规定为准</w:t>
            </w:r>
            <w:r>
              <w:rPr>
                <w:rFonts w:ascii="仿宋" w:hAnsi="仿宋" w:eastAsia="仿宋"/>
                <w:bCs/>
                <w:szCs w:val="21"/>
              </w:rPr>
              <w:t>。</w:t>
            </w:r>
          </w:p>
          <w:p>
            <w:pPr>
              <w:adjustRightInd w:val="0"/>
              <w:snapToGrid w:val="0"/>
              <w:spacing w:line="240" w:lineRule="atLeast"/>
              <w:ind w:firstLine="422" w:firstLineChars="200"/>
              <w:rPr>
                <w:rFonts w:ascii="仿宋" w:hAnsi="仿宋" w:eastAsia="仿宋"/>
                <w:bCs/>
                <w:color w:val="000000"/>
                <w:szCs w:val="21"/>
              </w:rPr>
            </w:pPr>
            <w:r>
              <w:rPr>
                <w:rFonts w:hint="eastAsia" w:ascii="仿宋" w:hAnsi="仿宋" w:eastAsia="仿宋"/>
                <w:b/>
                <w:bCs/>
                <w:color w:val="000000"/>
                <w:szCs w:val="21"/>
              </w:rPr>
              <w:t>华夏理财/代销机构根据非机构投资者自身提供的信息评估非机构投资者风险承受能力，因非机构投资者提供信息不准确或不完整，导致其购买与自己风险承受能力不匹配的理财产品的</w:t>
            </w:r>
            <w:r>
              <w:rPr>
                <w:rFonts w:ascii="仿宋" w:hAnsi="仿宋" w:eastAsia="仿宋"/>
                <w:b/>
                <w:bCs/>
                <w:color w:val="000000"/>
                <w:szCs w:val="21"/>
              </w:rPr>
              <w:t>责任和风险由</w:t>
            </w:r>
            <w:r>
              <w:rPr>
                <w:rFonts w:hint="eastAsia" w:ascii="仿宋" w:hAnsi="仿宋" w:eastAsia="仿宋"/>
                <w:b/>
                <w:bCs/>
                <w:color w:val="000000"/>
                <w:szCs w:val="21"/>
              </w:rPr>
              <w:t>投资者</w:t>
            </w:r>
            <w:r>
              <w:rPr>
                <w:rFonts w:ascii="仿宋" w:hAnsi="仿宋" w:eastAsia="仿宋"/>
                <w:b/>
                <w:bCs/>
                <w:color w:val="000000"/>
                <w:szCs w:val="21"/>
              </w:rPr>
              <w:t>承担</w:t>
            </w:r>
            <w:r>
              <w:rPr>
                <w:rFonts w:hint="eastAsia" w:ascii="仿宋" w:hAnsi="仿宋" w:eastAsia="仿宋"/>
                <w:b/>
                <w:bCs/>
                <w:color w:val="00000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业绩比较基准</w:t>
            </w:r>
          </w:p>
          <w:p>
            <w:pPr>
              <w:adjustRightInd w:val="0"/>
              <w:snapToGrid w:val="0"/>
              <w:spacing w:line="240" w:lineRule="atLeast"/>
              <w:jc w:val="center"/>
              <w:rPr>
                <w:rFonts w:ascii="仿宋" w:hAnsi="仿宋" w:eastAsia="仿宋"/>
                <w:bCs/>
                <w:szCs w:val="21"/>
              </w:rPr>
            </w:pP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color w:val="000000"/>
                <w:szCs w:val="21"/>
              </w:rPr>
            </w:pPr>
            <w:r>
              <w:rPr>
                <w:rFonts w:hint="eastAsia" w:ascii="仿宋" w:hAnsi="仿宋" w:eastAsia="仿宋" w:cs="Cambria"/>
                <w:bCs/>
                <w:szCs w:val="21"/>
              </w:rPr>
              <w:t>A份额：业绩比较基准为</w:t>
            </w:r>
            <w:r>
              <w:rPr>
                <w:rFonts w:hint="eastAsia" w:ascii="仿宋" w:hAnsi="仿宋" w:eastAsia="仿宋" w:cs="Cambria"/>
                <w:bCs/>
                <w:szCs w:val="21"/>
                <w:lang w:val="en-US" w:eastAsia="zh-CN"/>
              </w:rPr>
              <w:t>1</w:t>
            </w:r>
            <w:r>
              <w:rPr>
                <w:rFonts w:ascii="仿宋" w:hAnsi="仿宋" w:eastAsia="仿宋" w:cs="Cambria"/>
                <w:bCs/>
                <w:szCs w:val="21"/>
              </w:rPr>
              <w:t>.</w:t>
            </w:r>
            <w:r>
              <w:rPr>
                <w:rFonts w:hint="eastAsia" w:ascii="仿宋" w:hAnsi="仿宋" w:eastAsia="仿宋" w:cs="Cambria"/>
                <w:bCs/>
                <w:szCs w:val="21"/>
                <w:lang w:val="en-US" w:eastAsia="zh-CN"/>
              </w:rPr>
              <w:t>80</w:t>
            </w:r>
            <w:r>
              <w:rPr>
                <w:rFonts w:ascii="仿宋" w:hAnsi="仿宋" w:eastAsia="仿宋" w:cs="Cambria"/>
                <w:bCs/>
                <w:szCs w:val="21"/>
              </w:rPr>
              <w:t>%-</w:t>
            </w:r>
            <w:r>
              <w:rPr>
                <w:rFonts w:hint="eastAsia" w:ascii="仿宋" w:hAnsi="仿宋" w:eastAsia="仿宋" w:cs="Cambria"/>
                <w:bCs/>
                <w:szCs w:val="21"/>
                <w:lang w:val="en-US" w:eastAsia="zh-CN"/>
              </w:rPr>
              <w:t>2</w:t>
            </w:r>
            <w:r>
              <w:rPr>
                <w:rFonts w:ascii="仿宋" w:hAnsi="仿宋" w:eastAsia="仿宋" w:cs="Cambria"/>
                <w:bCs/>
                <w:szCs w:val="21"/>
              </w:rPr>
              <w:t>.</w:t>
            </w:r>
            <w:r>
              <w:rPr>
                <w:rFonts w:hint="eastAsia" w:ascii="仿宋" w:hAnsi="仿宋" w:eastAsia="仿宋" w:cs="Cambria"/>
                <w:bCs/>
                <w:szCs w:val="21"/>
                <w:lang w:val="en-US" w:eastAsia="zh-CN"/>
              </w:rPr>
              <w:t>80</w:t>
            </w:r>
            <w:r>
              <w:rPr>
                <w:rFonts w:ascii="仿宋" w:hAnsi="仿宋" w:eastAsia="仿宋" w:cs="Cambria"/>
                <w:bCs/>
                <w:szCs w:val="21"/>
              </w:rPr>
              <w:t>%</w:t>
            </w:r>
            <w:r>
              <w:rPr>
                <w:rFonts w:hint="eastAsia" w:ascii="仿宋" w:hAnsi="仿宋" w:eastAsia="仿宋" w:cs="Cambria"/>
                <w:bCs/>
                <w:szCs w:val="21"/>
              </w:rPr>
              <w:t>（年化）；</w:t>
            </w:r>
            <w:r>
              <w:rPr>
                <w:rFonts w:ascii="仿宋" w:hAnsi="仿宋" w:eastAsia="仿宋" w:cs="Cambria"/>
                <w:bCs/>
                <w:szCs w:val="21"/>
              </w:rPr>
              <w:t>B</w:t>
            </w:r>
            <w:r>
              <w:rPr>
                <w:rFonts w:hint="eastAsia" w:ascii="仿宋" w:hAnsi="仿宋" w:eastAsia="仿宋" w:cs="Cambria"/>
                <w:bCs/>
                <w:szCs w:val="21"/>
              </w:rPr>
              <w:t>份额：业绩比较基准为</w:t>
            </w:r>
            <w:r>
              <w:rPr>
                <w:rFonts w:hint="eastAsia" w:ascii="仿宋" w:hAnsi="仿宋" w:eastAsia="仿宋" w:cs="Cambria"/>
                <w:bCs/>
                <w:szCs w:val="21"/>
                <w:lang w:val="en-US" w:eastAsia="zh-CN"/>
              </w:rPr>
              <w:t>1</w:t>
            </w:r>
            <w:r>
              <w:rPr>
                <w:rFonts w:ascii="仿宋" w:hAnsi="仿宋" w:eastAsia="仿宋" w:cs="Cambria"/>
                <w:bCs/>
                <w:szCs w:val="21"/>
              </w:rPr>
              <w:t>.</w:t>
            </w:r>
            <w:r>
              <w:rPr>
                <w:rFonts w:hint="eastAsia" w:ascii="仿宋" w:hAnsi="仿宋" w:eastAsia="仿宋" w:cs="Cambria"/>
                <w:bCs/>
                <w:szCs w:val="21"/>
                <w:lang w:val="en-US" w:eastAsia="zh-CN"/>
              </w:rPr>
              <w:t>80</w:t>
            </w:r>
            <w:r>
              <w:rPr>
                <w:rFonts w:ascii="仿宋" w:hAnsi="仿宋" w:eastAsia="仿宋" w:cs="Cambria"/>
                <w:bCs/>
                <w:szCs w:val="21"/>
              </w:rPr>
              <w:t>%-</w:t>
            </w:r>
            <w:r>
              <w:rPr>
                <w:rFonts w:hint="eastAsia" w:ascii="仿宋" w:hAnsi="仿宋" w:eastAsia="仿宋" w:cs="Cambria"/>
                <w:bCs/>
                <w:szCs w:val="21"/>
                <w:lang w:val="en-US" w:eastAsia="zh-CN"/>
              </w:rPr>
              <w:t>2</w:t>
            </w:r>
            <w:r>
              <w:rPr>
                <w:rFonts w:ascii="仿宋" w:hAnsi="仿宋" w:eastAsia="仿宋" w:cs="Cambria"/>
                <w:bCs/>
                <w:szCs w:val="21"/>
              </w:rPr>
              <w:t>.</w:t>
            </w:r>
            <w:r>
              <w:rPr>
                <w:rFonts w:hint="eastAsia" w:ascii="仿宋" w:hAnsi="仿宋" w:eastAsia="仿宋" w:cs="Cambria"/>
                <w:bCs/>
                <w:szCs w:val="21"/>
                <w:lang w:val="en-US" w:eastAsia="zh-CN"/>
              </w:rPr>
              <w:t>80</w:t>
            </w:r>
            <w:r>
              <w:rPr>
                <w:rFonts w:ascii="仿宋" w:hAnsi="仿宋" w:eastAsia="仿宋" w:cs="Cambria"/>
                <w:bCs/>
                <w:szCs w:val="21"/>
              </w:rPr>
              <w:t>%</w:t>
            </w:r>
            <w:r>
              <w:rPr>
                <w:rFonts w:hint="eastAsia" w:ascii="仿宋" w:hAnsi="仿宋" w:eastAsia="仿宋" w:cs="Cambria"/>
                <w:bCs/>
                <w:szCs w:val="21"/>
              </w:rPr>
              <w:t>（年化）；</w:t>
            </w:r>
            <w:r>
              <w:rPr>
                <w:rFonts w:ascii="仿宋" w:hAnsi="仿宋" w:eastAsia="仿宋" w:cs="Cambria"/>
                <w:bCs/>
                <w:szCs w:val="21"/>
              </w:rPr>
              <w:t>C</w:t>
            </w:r>
            <w:r>
              <w:rPr>
                <w:rFonts w:hint="eastAsia" w:ascii="仿宋" w:hAnsi="仿宋" w:eastAsia="仿宋" w:cs="Cambria"/>
                <w:bCs/>
                <w:szCs w:val="21"/>
              </w:rPr>
              <w:t>份额：业绩比较基准为</w:t>
            </w:r>
            <w:r>
              <w:rPr>
                <w:rFonts w:hint="eastAsia" w:ascii="仿宋" w:hAnsi="仿宋" w:eastAsia="仿宋" w:cs="Cambria"/>
                <w:bCs/>
                <w:szCs w:val="21"/>
                <w:lang w:val="en-US" w:eastAsia="zh-CN"/>
              </w:rPr>
              <w:t>1</w:t>
            </w:r>
            <w:r>
              <w:rPr>
                <w:rFonts w:ascii="仿宋" w:hAnsi="仿宋" w:eastAsia="仿宋" w:cs="Cambria"/>
                <w:bCs/>
                <w:szCs w:val="21"/>
              </w:rPr>
              <w:t>.</w:t>
            </w:r>
            <w:r>
              <w:rPr>
                <w:rFonts w:hint="eastAsia" w:ascii="仿宋" w:hAnsi="仿宋" w:eastAsia="仿宋" w:cs="Cambria"/>
                <w:bCs/>
                <w:szCs w:val="21"/>
                <w:lang w:val="en-US" w:eastAsia="zh-CN"/>
              </w:rPr>
              <w:t>95</w:t>
            </w:r>
            <w:r>
              <w:rPr>
                <w:rFonts w:ascii="仿宋" w:hAnsi="仿宋" w:eastAsia="仿宋" w:cs="Cambria"/>
                <w:bCs/>
                <w:szCs w:val="21"/>
              </w:rPr>
              <w:t>%-</w:t>
            </w:r>
            <w:r>
              <w:rPr>
                <w:rFonts w:hint="eastAsia" w:ascii="仿宋" w:hAnsi="仿宋" w:eastAsia="仿宋" w:cs="Cambria"/>
                <w:bCs/>
                <w:szCs w:val="21"/>
                <w:lang w:val="en-US" w:eastAsia="zh-CN"/>
              </w:rPr>
              <w:t>2</w:t>
            </w:r>
            <w:r>
              <w:rPr>
                <w:rFonts w:ascii="仿宋" w:hAnsi="仿宋" w:eastAsia="仿宋" w:cs="Cambria"/>
                <w:bCs/>
                <w:szCs w:val="21"/>
              </w:rPr>
              <w:t>.</w:t>
            </w:r>
            <w:r>
              <w:rPr>
                <w:rFonts w:hint="eastAsia" w:ascii="仿宋" w:hAnsi="仿宋" w:eastAsia="仿宋" w:cs="Cambria"/>
                <w:bCs/>
                <w:szCs w:val="21"/>
                <w:lang w:val="en-US" w:eastAsia="zh-CN"/>
              </w:rPr>
              <w:t>95</w:t>
            </w:r>
            <w:r>
              <w:rPr>
                <w:rFonts w:ascii="仿宋" w:hAnsi="仿宋" w:eastAsia="仿宋" w:cs="Cambria"/>
                <w:bCs/>
                <w:szCs w:val="21"/>
              </w:rPr>
              <w:t>%</w:t>
            </w:r>
            <w:r>
              <w:rPr>
                <w:rFonts w:hint="eastAsia" w:ascii="仿宋" w:hAnsi="仿宋" w:eastAsia="仿宋" w:cs="Cambria"/>
                <w:bCs/>
                <w:szCs w:val="21"/>
              </w:rPr>
              <w:t>（年化）；</w:t>
            </w:r>
            <w:r>
              <w:rPr>
                <w:rFonts w:ascii="仿宋" w:hAnsi="仿宋" w:eastAsia="仿宋" w:cs="Cambria"/>
                <w:bCs/>
                <w:szCs w:val="21"/>
              </w:rPr>
              <w:t>D</w:t>
            </w:r>
            <w:r>
              <w:rPr>
                <w:rFonts w:hint="eastAsia" w:ascii="仿宋" w:hAnsi="仿宋" w:eastAsia="仿宋" w:cs="Cambria"/>
                <w:bCs/>
                <w:szCs w:val="21"/>
              </w:rPr>
              <w:t>份额：业绩比较基准为</w:t>
            </w:r>
            <w:r>
              <w:rPr>
                <w:rFonts w:hint="eastAsia" w:ascii="仿宋" w:hAnsi="仿宋" w:eastAsia="仿宋" w:cs="Cambria"/>
                <w:bCs/>
                <w:szCs w:val="21"/>
                <w:lang w:val="en-US" w:eastAsia="zh-CN"/>
              </w:rPr>
              <w:t>1</w:t>
            </w:r>
            <w:r>
              <w:rPr>
                <w:rFonts w:ascii="仿宋" w:hAnsi="仿宋" w:eastAsia="仿宋" w:cs="Cambria"/>
                <w:bCs/>
                <w:szCs w:val="21"/>
              </w:rPr>
              <w:t>.</w:t>
            </w:r>
            <w:r>
              <w:rPr>
                <w:rFonts w:hint="eastAsia" w:ascii="仿宋" w:hAnsi="仿宋" w:eastAsia="仿宋" w:cs="Cambria"/>
                <w:bCs/>
                <w:szCs w:val="21"/>
                <w:lang w:val="en-US" w:eastAsia="zh-CN"/>
              </w:rPr>
              <w:t>95</w:t>
            </w:r>
            <w:r>
              <w:rPr>
                <w:rFonts w:ascii="仿宋" w:hAnsi="仿宋" w:eastAsia="仿宋" w:cs="Cambria"/>
                <w:bCs/>
                <w:szCs w:val="21"/>
              </w:rPr>
              <w:t>%-</w:t>
            </w:r>
            <w:r>
              <w:rPr>
                <w:rFonts w:hint="eastAsia" w:ascii="仿宋" w:hAnsi="仿宋" w:eastAsia="仿宋" w:cs="Cambria"/>
                <w:bCs/>
                <w:szCs w:val="21"/>
                <w:lang w:val="en-US" w:eastAsia="zh-CN"/>
              </w:rPr>
              <w:t>2</w:t>
            </w:r>
            <w:r>
              <w:rPr>
                <w:rFonts w:ascii="仿宋" w:hAnsi="仿宋" w:eastAsia="仿宋" w:cs="Cambria"/>
                <w:bCs/>
                <w:szCs w:val="21"/>
              </w:rPr>
              <w:t>.</w:t>
            </w:r>
            <w:r>
              <w:rPr>
                <w:rFonts w:hint="eastAsia" w:ascii="仿宋" w:hAnsi="仿宋" w:eastAsia="仿宋" w:cs="Cambria"/>
                <w:bCs/>
                <w:szCs w:val="21"/>
                <w:lang w:val="en-US" w:eastAsia="zh-CN"/>
              </w:rPr>
              <w:t>95</w:t>
            </w:r>
            <w:r>
              <w:rPr>
                <w:rFonts w:ascii="仿宋" w:hAnsi="仿宋" w:eastAsia="仿宋" w:cs="Cambria"/>
                <w:bCs/>
                <w:szCs w:val="21"/>
              </w:rPr>
              <w:t>%</w:t>
            </w:r>
            <w:r>
              <w:rPr>
                <w:rFonts w:hint="eastAsia" w:ascii="仿宋" w:hAnsi="仿宋" w:eastAsia="仿宋" w:cs="Cambria"/>
                <w:bCs/>
                <w:szCs w:val="21"/>
              </w:rPr>
              <w:t>（年化）；H份额：业绩比较基准为</w:t>
            </w:r>
            <w:r>
              <w:rPr>
                <w:rFonts w:ascii="仿宋" w:hAnsi="仿宋" w:eastAsia="仿宋" w:cs="Cambria"/>
                <w:bCs/>
                <w:szCs w:val="21"/>
              </w:rPr>
              <w:t>2.</w:t>
            </w:r>
            <w:r>
              <w:rPr>
                <w:rFonts w:hint="eastAsia" w:ascii="仿宋" w:hAnsi="仿宋" w:eastAsia="仿宋" w:cs="Cambria"/>
                <w:bCs/>
                <w:szCs w:val="21"/>
                <w:lang w:val="en-US" w:eastAsia="zh-CN"/>
              </w:rPr>
              <w:t>00</w:t>
            </w:r>
            <w:r>
              <w:rPr>
                <w:rFonts w:ascii="仿宋" w:hAnsi="仿宋" w:eastAsia="仿宋" w:cs="Cambria"/>
                <w:bCs/>
                <w:szCs w:val="21"/>
              </w:rPr>
              <w:t>%-3.</w:t>
            </w:r>
            <w:r>
              <w:rPr>
                <w:rFonts w:hint="eastAsia" w:ascii="仿宋" w:hAnsi="仿宋" w:eastAsia="仿宋" w:cs="Cambria"/>
                <w:bCs/>
                <w:szCs w:val="21"/>
                <w:lang w:val="en-US" w:eastAsia="zh-CN"/>
              </w:rPr>
              <w:t>00</w:t>
            </w:r>
            <w:r>
              <w:rPr>
                <w:rFonts w:ascii="仿宋" w:hAnsi="仿宋" w:eastAsia="仿宋" w:cs="Cambria"/>
                <w:bCs/>
                <w:szCs w:val="21"/>
              </w:rPr>
              <w:t>%</w:t>
            </w:r>
            <w:r>
              <w:rPr>
                <w:rFonts w:hint="eastAsia" w:ascii="仿宋" w:hAnsi="仿宋" w:eastAsia="仿宋" w:cs="Cambria"/>
                <w:bCs/>
                <w:szCs w:val="21"/>
              </w:rPr>
              <w:t>（年化）；M份额：业绩比较基准为</w:t>
            </w:r>
            <w:r>
              <w:rPr>
                <w:rFonts w:hint="eastAsia" w:ascii="仿宋" w:hAnsi="仿宋" w:eastAsia="仿宋" w:cs="Cambria"/>
                <w:bCs/>
                <w:szCs w:val="21"/>
                <w:lang w:val="en-US" w:eastAsia="zh-CN"/>
              </w:rPr>
              <w:t>1</w:t>
            </w:r>
            <w:r>
              <w:rPr>
                <w:rFonts w:ascii="仿宋" w:hAnsi="仿宋" w:eastAsia="仿宋" w:cs="Cambria"/>
                <w:bCs/>
                <w:szCs w:val="21"/>
              </w:rPr>
              <w:t>.</w:t>
            </w:r>
            <w:r>
              <w:rPr>
                <w:rFonts w:hint="eastAsia" w:ascii="仿宋" w:hAnsi="仿宋" w:eastAsia="仿宋" w:cs="Cambria"/>
                <w:bCs/>
                <w:szCs w:val="21"/>
                <w:lang w:val="en-US" w:eastAsia="zh-CN"/>
              </w:rPr>
              <w:t>80</w:t>
            </w:r>
            <w:r>
              <w:rPr>
                <w:rFonts w:ascii="仿宋" w:hAnsi="仿宋" w:eastAsia="仿宋" w:cs="Cambria"/>
                <w:bCs/>
                <w:szCs w:val="21"/>
              </w:rPr>
              <w:t>%-</w:t>
            </w:r>
            <w:r>
              <w:rPr>
                <w:rFonts w:hint="eastAsia" w:ascii="仿宋" w:hAnsi="仿宋" w:eastAsia="仿宋" w:cs="Cambria"/>
                <w:bCs/>
                <w:szCs w:val="21"/>
                <w:lang w:val="en-US" w:eastAsia="zh-CN"/>
              </w:rPr>
              <w:t>2</w:t>
            </w:r>
            <w:r>
              <w:rPr>
                <w:rFonts w:ascii="仿宋" w:hAnsi="仿宋" w:eastAsia="仿宋" w:cs="Cambria"/>
                <w:bCs/>
                <w:szCs w:val="21"/>
              </w:rPr>
              <w:t>.</w:t>
            </w:r>
            <w:r>
              <w:rPr>
                <w:rFonts w:hint="eastAsia" w:ascii="仿宋" w:hAnsi="仿宋" w:eastAsia="仿宋" w:cs="Cambria"/>
                <w:bCs/>
                <w:szCs w:val="21"/>
                <w:lang w:val="en-US" w:eastAsia="zh-CN"/>
              </w:rPr>
              <w:t>80</w:t>
            </w:r>
            <w:r>
              <w:rPr>
                <w:rFonts w:ascii="仿宋" w:hAnsi="仿宋" w:eastAsia="仿宋" w:cs="Cambria"/>
                <w:bCs/>
                <w:szCs w:val="21"/>
              </w:rPr>
              <w:t>%</w:t>
            </w:r>
            <w:r>
              <w:rPr>
                <w:rFonts w:hint="eastAsia" w:ascii="仿宋" w:hAnsi="仿宋" w:eastAsia="仿宋" w:cs="Cambria"/>
                <w:bCs/>
                <w:szCs w:val="21"/>
              </w:rPr>
              <w:t>（年化）；</w:t>
            </w:r>
            <w:r>
              <w:rPr>
                <w:rFonts w:hint="eastAsia" w:ascii="仿宋" w:hAnsi="仿宋" w:eastAsia="仿宋" w:cs="Cambria"/>
                <w:bCs/>
                <w:szCs w:val="21"/>
                <w:lang w:val="en-US" w:eastAsia="zh-CN"/>
              </w:rPr>
              <w:t>O</w:t>
            </w:r>
            <w:r>
              <w:rPr>
                <w:rFonts w:hint="eastAsia" w:ascii="仿宋" w:hAnsi="仿宋" w:eastAsia="仿宋" w:cs="Cambria"/>
                <w:bCs/>
                <w:szCs w:val="21"/>
              </w:rPr>
              <w:t>份额：业绩比较基准为</w:t>
            </w:r>
            <w:r>
              <w:rPr>
                <w:rFonts w:ascii="仿宋" w:hAnsi="仿宋" w:eastAsia="仿宋" w:cs="Cambria"/>
                <w:bCs/>
                <w:szCs w:val="21"/>
              </w:rPr>
              <w:t>2.</w:t>
            </w:r>
            <w:r>
              <w:rPr>
                <w:rFonts w:hint="eastAsia" w:ascii="仿宋" w:hAnsi="仿宋" w:eastAsia="仿宋" w:cs="Cambria"/>
                <w:bCs/>
                <w:szCs w:val="21"/>
                <w:lang w:val="en-US" w:eastAsia="zh-CN"/>
              </w:rPr>
              <w:t>00</w:t>
            </w:r>
            <w:r>
              <w:rPr>
                <w:rFonts w:ascii="仿宋" w:hAnsi="仿宋" w:eastAsia="仿宋" w:cs="Cambria"/>
                <w:bCs/>
                <w:szCs w:val="21"/>
              </w:rPr>
              <w:t>%-3.</w:t>
            </w:r>
            <w:r>
              <w:rPr>
                <w:rFonts w:hint="eastAsia" w:ascii="仿宋" w:hAnsi="仿宋" w:eastAsia="仿宋" w:cs="Cambria"/>
                <w:bCs/>
                <w:szCs w:val="21"/>
                <w:lang w:val="en-US" w:eastAsia="zh-CN"/>
              </w:rPr>
              <w:t>00</w:t>
            </w:r>
            <w:r>
              <w:rPr>
                <w:rFonts w:ascii="仿宋" w:hAnsi="仿宋" w:eastAsia="仿宋" w:cs="Cambria"/>
                <w:bCs/>
                <w:szCs w:val="21"/>
              </w:rPr>
              <w:t>%</w:t>
            </w:r>
            <w:r>
              <w:rPr>
                <w:rFonts w:hint="eastAsia" w:ascii="仿宋" w:hAnsi="仿宋" w:eastAsia="仿宋" w:cs="Cambria"/>
                <w:bCs/>
                <w:szCs w:val="21"/>
              </w:rPr>
              <w:t>（年化）；</w:t>
            </w:r>
            <w:r>
              <w:rPr>
                <w:rFonts w:hint="eastAsia" w:ascii="仿宋" w:hAnsi="仿宋" w:eastAsia="仿宋" w:cs="Cambria"/>
                <w:bCs/>
                <w:szCs w:val="21"/>
                <w:lang w:val="en-US" w:eastAsia="zh-CN"/>
              </w:rPr>
              <w:t>W</w:t>
            </w:r>
            <w:r>
              <w:rPr>
                <w:rFonts w:hint="eastAsia" w:ascii="仿宋" w:hAnsi="仿宋" w:eastAsia="仿宋" w:cs="Cambria"/>
                <w:bCs/>
                <w:szCs w:val="21"/>
              </w:rPr>
              <w:t>份额：业绩比较基准为</w:t>
            </w:r>
            <w:r>
              <w:rPr>
                <w:rFonts w:hint="eastAsia" w:ascii="仿宋" w:hAnsi="仿宋" w:eastAsia="仿宋" w:cs="Cambria"/>
                <w:bCs/>
                <w:szCs w:val="21"/>
                <w:lang w:val="en-US" w:eastAsia="zh-CN"/>
              </w:rPr>
              <w:t>1</w:t>
            </w:r>
            <w:r>
              <w:rPr>
                <w:rFonts w:ascii="仿宋" w:hAnsi="仿宋" w:eastAsia="仿宋" w:cs="Cambria"/>
                <w:bCs/>
                <w:szCs w:val="21"/>
              </w:rPr>
              <w:t>.</w:t>
            </w:r>
            <w:r>
              <w:rPr>
                <w:rFonts w:hint="eastAsia" w:ascii="仿宋" w:hAnsi="仿宋" w:eastAsia="仿宋" w:cs="Cambria"/>
                <w:bCs/>
                <w:szCs w:val="21"/>
                <w:lang w:val="en-US" w:eastAsia="zh-CN"/>
              </w:rPr>
              <w:t>70</w:t>
            </w:r>
            <w:r>
              <w:rPr>
                <w:rFonts w:ascii="仿宋" w:hAnsi="仿宋" w:eastAsia="仿宋" w:cs="Cambria"/>
                <w:bCs/>
                <w:szCs w:val="21"/>
              </w:rPr>
              <w:t>%-</w:t>
            </w:r>
            <w:r>
              <w:rPr>
                <w:rFonts w:hint="eastAsia" w:ascii="仿宋" w:hAnsi="仿宋" w:eastAsia="仿宋" w:cs="Cambria"/>
                <w:bCs/>
                <w:szCs w:val="21"/>
                <w:lang w:val="en-US" w:eastAsia="zh-CN"/>
              </w:rPr>
              <w:t>2</w:t>
            </w:r>
            <w:r>
              <w:rPr>
                <w:rFonts w:ascii="仿宋" w:hAnsi="仿宋" w:eastAsia="仿宋" w:cs="Cambria"/>
                <w:bCs/>
                <w:szCs w:val="21"/>
              </w:rPr>
              <w:t>.</w:t>
            </w:r>
            <w:r>
              <w:rPr>
                <w:rFonts w:hint="eastAsia" w:ascii="仿宋" w:hAnsi="仿宋" w:eastAsia="仿宋" w:cs="Cambria"/>
                <w:bCs/>
                <w:szCs w:val="21"/>
                <w:lang w:val="en-US" w:eastAsia="zh-CN"/>
              </w:rPr>
              <w:t>70</w:t>
            </w:r>
            <w:r>
              <w:rPr>
                <w:rFonts w:ascii="仿宋" w:hAnsi="仿宋" w:eastAsia="仿宋" w:cs="Cambria"/>
                <w:bCs/>
                <w:szCs w:val="21"/>
              </w:rPr>
              <w:t>%</w:t>
            </w:r>
            <w:r>
              <w:rPr>
                <w:rFonts w:hint="eastAsia" w:ascii="仿宋" w:hAnsi="仿宋" w:eastAsia="仿宋" w:cs="Cambria"/>
                <w:bCs/>
                <w:szCs w:val="21"/>
              </w:rPr>
              <w:t>（年化）；</w:t>
            </w:r>
            <w:r>
              <w:rPr>
                <w:rFonts w:hint="eastAsia" w:ascii="仿宋" w:hAnsi="仿宋" w:eastAsia="仿宋" w:cs="Cambria"/>
                <w:bCs/>
                <w:szCs w:val="21"/>
                <w:lang w:val="en-US" w:eastAsia="zh-CN"/>
              </w:rPr>
              <w:t>Y</w:t>
            </w:r>
            <w:r>
              <w:rPr>
                <w:rFonts w:hint="eastAsia" w:ascii="仿宋" w:hAnsi="仿宋" w:eastAsia="仿宋" w:cs="Cambria"/>
                <w:bCs/>
                <w:szCs w:val="21"/>
              </w:rPr>
              <w:t>份额：业绩比较基准为</w:t>
            </w:r>
            <w:r>
              <w:rPr>
                <w:rFonts w:hint="eastAsia" w:ascii="仿宋" w:hAnsi="仿宋" w:eastAsia="仿宋" w:cs="Cambria"/>
                <w:bCs/>
                <w:szCs w:val="21"/>
                <w:lang w:val="en-US" w:eastAsia="zh-CN"/>
              </w:rPr>
              <w:t>1</w:t>
            </w:r>
            <w:r>
              <w:rPr>
                <w:rFonts w:ascii="仿宋" w:hAnsi="仿宋" w:eastAsia="仿宋" w:cs="Cambria"/>
                <w:bCs/>
                <w:szCs w:val="21"/>
              </w:rPr>
              <w:t>.</w:t>
            </w:r>
            <w:r>
              <w:rPr>
                <w:rFonts w:hint="eastAsia" w:ascii="仿宋" w:hAnsi="仿宋" w:eastAsia="仿宋" w:cs="Cambria"/>
                <w:bCs/>
                <w:szCs w:val="21"/>
                <w:lang w:val="en-US" w:eastAsia="zh-CN"/>
              </w:rPr>
              <w:t>95</w:t>
            </w:r>
            <w:r>
              <w:rPr>
                <w:rFonts w:ascii="仿宋" w:hAnsi="仿宋" w:eastAsia="仿宋" w:cs="Cambria"/>
                <w:bCs/>
                <w:szCs w:val="21"/>
              </w:rPr>
              <w:t>%-</w:t>
            </w:r>
            <w:r>
              <w:rPr>
                <w:rFonts w:hint="eastAsia" w:ascii="仿宋" w:hAnsi="仿宋" w:eastAsia="仿宋" w:cs="Cambria"/>
                <w:bCs/>
                <w:szCs w:val="21"/>
                <w:lang w:val="en-US" w:eastAsia="zh-CN"/>
              </w:rPr>
              <w:t>2</w:t>
            </w:r>
            <w:r>
              <w:rPr>
                <w:rFonts w:ascii="仿宋" w:hAnsi="仿宋" w:eastAsia="仿宋" w:cs="Cambria"/>
                <w:bCs/>
                <w:szCs w:val="21"/>
              </w:rPr>
              <w:t>.</w:t>
            </w:r>
            <w:r>
              <w:rPr>
                <w:rFonts w:hint="eastAsia" w:ascii="仿宋" w:hAnsi="仿宋" w:eastAsia="仿宋" w:cs="Cambria"/>
                <w:bCs/>
                <w:szCs w:val="21"/>
                <w:lang w:val="en-US" w:eastAsia="zh-CN"/>
              </w:rPr>
              <w:t>95</w:t>
            </w:r>
            <w:r>
              <w:rPr>
                <w:rFonts w:ascii="仿宋" w:hAnsi="仿宋" w:eastAsia="仿宋" w:cs="Cambria"/>
                <w:bCs/>
                <w:szCs w:val="21"/>
              </w:rPr>
              <w:t>%</w:t>
            </w:r>
            <w:r>
              <w:rPr>
                <w:rFonts w:hint="eastAsia" w:ascii="仿宋" w:hAnsi="仿宋" w:eastAsia="仿宋" w:cs="Cambria"/>
                <w:bCs/>
                <w:szCs w:val="21"/>
              </w:rPr>
              <w:t>（年化）；</w:t>
            </w:r>
            <w:r>
              <w:rPr>
                <w:rFonts w:ascii="仿宋" w:hAnsi="仿宋" w:eastAsia="仿宋" w:cs="Cambria"/>
                <w:bCs/>
                <w:szCs w:val="21"/>
              </w:rPr>
              <w:t>Z</w:t>
            </w:r>
            <w:r>
              <w:rPr>
                <w:rFonts w:hint="eastAsia" w:ascii="仿宋" w:hAnsi="仿宋" w:eastAsia="仿宋" w:cs="Cambria"/>
                <w:bCs/>
                <w:szCs w:val="21"/>
              </w:rPr>
              <w:t>份额：业绩比较基准为</w:t>
            </w:r>
            <w:r>
              <w:rPr>
                <w:rFonts w:hint="eastAsia" w:ascii="仿宋" w:hAnsi="仿宋" w:eastAsia="仿宋" w:cs="Cambria"/>
                <w:bCs/>
                <w:szCs w:val="21"/>
                <w:lang w:val="en-US" w:eastAsia="zh-CN"/>
              </w:rPr>
              <w:t>1</w:t>
            </w:r>
            <w:r>
              <w:rPr>
                <w:rFonts w:ascii="仿宋" w:hAnsi="仿宋" w:eastAsia="仿宋" w:cs="Cambria"/>
                <w:bCs/>
                <w:szCs w:val="21"/>
              </w:rPr>
              <w:t>.</w:t>
            </w:r>
            <w:r>
              <w:rPr>
                <w:rFonts w:hint="eastAsia" w:ascii="仿宋" w:hAnsi="仿宋" w:eastAsia="仿宋" w:cs="Cambria"/>
                <w:bCs/>
                <w:szCs w:val="21"/>
                <w:lang w:val="en-US" w:eastAsia="zh-CN"/>
              </w:rPr>
              <w:t>80</w:t>
            </w:r>
            <w:r>
              <w:rPr>
                <w:rFonts w:ascii="仿宋" w:hAnsi="仿宋" w:eastAsia="仿宋" w:cs="Cambria"/>
                <w:bCs/>
                <w:szCs w:val="21"/>
              </w:rPr>
              <w:t>%-</w:t>
            </w:r>
            <w:r>
              <w:rPr>
                <w:rFonts w:hint="eastAsia" w:ascii="仿宋" w:hAnsi="仿宋" w:eastAsia="仿宋" w:cs="Cambria"/>
                <w:bCs/>
                <w:szCs w:val="21"/>
                <w:lang w:val="en-US" w:eastAsia="zh-CN"/>
              </w:rPr>
              <w:t>2</w:t>
            </w:r>
            <w:r>
              <w:rPr>
                <w:rFonts w:ascii="仿宋" w:hAnsi="仿宋" w:eastAsia="仿宋" w:cs="Cambria"/>
                <w:bCs/>
                <w:szCs w:val="21"/>
              </w:rPr>
              <w:t>.</w:t>
            </w:r>
            <w:r>
              <w:rPr>
                <w:rFonts w:hint="eastAsia" w:ascii="仿宋" w:hAnsi="仿宋" w:eastAsia="仿宋" w:cs="Cambria"/>
                <w:bCs/>
                <w:szCs w:val="21"/>
                <w:lang w:val="en-US" w:eastAsia="zh-CN"/>
              </w:rPr>
              <w:t>80</w:t>
            </w:r>
            <w:r>
              <w:rPr>
                <w:rFonts w:ascii="仿宋" w:hAnsi="仿宋" w:eastAsia="仿宋" w:cs="Cambria"/>
                <w:bCs/>
                <w:szCs w:val="21"/>
              </w:rPr>
              <w:t>%</w:t>
            </w:r>
            <w:r>
              <w:rPr>
                <w:rFonts w:hint="eastAsia" w:ascii="仿宋" w:hAnsi="仿宋" w:eastAsia="仿宋" w:cs="Cambria"/>
                <w:bCs/>
                <w:szCs w:val="21"/>
              </w:rPr>
              <w:t>（年化）。</w:t>
            </w:r>
            <w:r>
              <w:rPr>
                <w:rFonts w:hint="eastAsia" w:ascii="仿宋" w:hAnsi="仿宋" w:eastAsia="仿宋"/>
                <w:bCs/>
                <w:color w:val="000000"/>
                <w:szCs w:val="21"/>
              </w:rPr>
              <w:t>以产品投资利率债和存款类资产仓位80%-100%，信用债仓位0-20%，组合杠杆率100%-120%为例，参考中债-国债总财富指数、中债-信用债总财富指数，以及股份制银行定期存款利率，结合产品投资策略并扣除各项费用后，综合测算得出上述业绩比较基准。测算示例仅供参考，具体资产投资比例可根据各类资产的收益水平、流动性特征、信用风险等因素动态调整。</w:t>
            </w:r>
          </w:p>
          <w:p>
            <w:pPr>
              <w:adjustRightInd w:val="0"/>
              <w:snapToGrid w:val="0"/>
              <w:spacing w:line="240" w:lineRule="atLeast"/>
              <w:ind w:firstLine="420" w:firstLineChars="200"/>
              <w:rPr>
                <w:rFonts w:ascii="仿宋" w:hAnsi="仿宋" w:eastAsia="仿宋"/>
                <w:bCs/>
                <w:color w:val="000000"/>
                <w:szCs w:val="21"/>
              </w:rPr>
            </w:pPr>
            <w:r>
              <w:rPr>
                <w:rFonts w:hint="eastAsia" w:ascii="仿宋" w:hAnsi="仿宋" w:eastAsia="仿宋" w:cs="Cambria"/>
                <w:bCs/>
                <w:szCs w:val="21"/>
              </w:rPr>
              <w:t>业绩比较基准是管理人基于产品性质、投资策略、过往经验等因素对产品设定的投资目标，不是预期收益率，不代表产品的未来表现和实际收益，不构成对产品收益的承诺。</w:t>
            </w:r>
          </w:p>
          <w:p>
            <w:pPr>
              <w:adjustRightInd w:val="0"/>
              <w:snapToGrid w:val="0"/>
              <w:spacing w:line="240" w:lineRule="atLeast"/>
              <w:ind w:firstLine="420" w:firstLineChars="200"/>
              <w:rPr>
                <w:rFonts w:ascii="仿宋" w:hAnsi="仿宋" w:eastAsia="仿宋"/>
                <w:bCs/>
                <w:color w:val="000000"/>
                <w:szCs w:val="21"/>
              </w:rPr>
            </w:pPr>
            <w:r>
              <w:rPr>
                <w:rFonts w:hint="eastAsia" w:ascii="仿宋" w:hAnsi="仿宋" w:eastAsia="仿宋"/>
                <w:bCs/>
                <w:color w:val="000000"/>
                <w:szCs w:val="21"/>
              </w:rPr>
              <w:t>华夏理财有权根据市场情况及产品运作情况调整业绩比较基准，</w:t>
            </w:r>
            <w:r>
              <w:rPr>
                <w:rFonts w:hint="eastAsia" w:ascii="仿宋" w:hAnsi="仿宋" w:eastAsia="仿宋"/>
                <w:bCs/>
                <w:szCs w:val="21"/>
              </w:rPr>
              <w:t>并至少于新业绩比较基准启用前3个工作日公告</w:t>
            </w:r>
            <w:r>
              <w:rPr>
                <w:rFonts w:hint="eastAsia" w:ascii="仿宋" w:hAnsi="仿宋" w:eastAsia="仿宋"/>
                <w:bCs/>
                <w:color w:val="000000"/>
                <w:szCs w:val="21"/>
              </w:rPr>
              <w:t>。</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1.本理财产品为净值型产品，其业绩表现将随市场波动，具有不确定性。</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2.本业绩比较基准不构成华夏理财/代销机构对本理财产品的任何收益承诺。</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3.理财产品过往业绩不代表其未来表现，不等于理财产品实际收益，投资须谨慎。</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募集</w:t>
            </w:r>
            <w:r>
              <w:rPr>
                <w:rFonts w:ascii="仿宋" w:hAnsi="仿宋" w:eastAsia="仿宋"/>
                <w:bCs/>
                <w:szCs w:val="21"/>
              </w:rPr>
              <w:t>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2022年3月16日－2022年3月21日</w:t>
            </w:r>
            <w:r>
              <w:rPr>
                <w:rFonts w:ascii="仿宋" w:hAnsi="仿宋" w:eastAsia="仿宋"/>
                <w:bCs/>
                <w:szCs w:val="21"/>
              </w:rPr>
              <w:t>（含）</w:t>
            </w:r>
            <w:r>
              <w:rPr>
                <w:rFonts w:hint="eastAsia" w:ascii="仿宋" w:hAnsi="仿宋" w:eastAsia="仿宋"/>
                <w:bCs/>
                <w:szCs w:val="21"/>
              </w:rPr>
              <w:t>（根据市场情况，华夏理财有权提前结束认购或调整相关日期，募集期最后一日认购截止时点如与华夏理财不一致则以各代销机构规定为准，其中华夏银行/华夏理财17：30（含）后不可认购。</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成立日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2022年3月22日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封闭期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
                <w:bCs/>
                <w:szCs w:val="21"/>
              </w:rPr>
            </w:pPr>
            <w:r>
              <w:rPr>
                <w:rFonts w:hint="eastAsia" w:ascii="仿宋" w:hAnsi="仿宋" w:eastAsia="仿宋"/>
                <w:bCs/>
                <w:szCs w:val="21"/>
              </w:rPr>
              <w:t>本理财产品不设置封闭期。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产品存续期限</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color w:val="000000"/>
                <w:szCs w:val="21"/>
              </w:rPr>
              <w:t>本理财产品无特定存续期限（产品实际期限受制于提前终止条款的约定）</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color w:val="000000"/>
                <w:szCs w:val="21"/>
              </w:rPr>
            </w:pPr>
            <w:r>
              <w:rPr>
                <w:rFonts w:hint="eastAsia" w:ascii="仿宋" w:hAnsi="仿宋" w:eastAsia="仿宋"/>
                <w:bCs/>
                <w:color w:val="000000"/>
                <w:szCs w:val="21"/>
              </w:rPr>
              <w:t>发行范围</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color w:val="000000"/>
                <w:szCs w:val="21"/>
              </w:rPr>
            </w:pPr>
            <w:r>
              <w:rPr>
                <w:rFonts w:hint="eastAsia" w:ascii="仿宋" w:hAnsi="仿宋" w:eastAsia="仿宋"/>
                <w:bCs/>
                <w:color w:val="000000"/>
                <w:szCs w:val="21"/>
              </w:rPr>
              <w:t>全国发行</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发行规模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不限</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w:t>
            </w:r>
            <w:r>
              <w:rPr>
                <w:rFonts w:hint="eastAsia" w:ascii="仿宋" w:hAnsi="仿宋" w:eastAsia="仿宋"/>
                <w:bCs/>
                <w:szCs w:val="21"/>
              </w:rPr>
              <w:t>不</w:t>
            </w:r>
            <w:r>
              <w:rPr>
                <w:rFonts w:ascii="仿宋" w:hAnsi="仿宋" w:eastAsia="仿宋"/>
                <w:bCs/>
                <w:szCs w:val="21"/>
              </w:rPr>
              <w:t>成立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募集期结束，如理财产品募集总金额未达到发行规模下限；或者市场发生重大变化，华夏理财无法或者经其合理判断难以按照本产品说明书向投资者提供本理财产品；或者法律法规、监管规定、国家政策发生变化导致无法按照本产品说明书向投资者提供本理财产品，华夏理财有权宣布本理财产品不成立。</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如理财产品不成立，华夏</w:t>
            </w:r>
            <w:r>
              <w:rPr>
                <w:rFonts w:hint="eastAsia" w:ascii="仿宋" w:hAnsi="仿宋" w:eastAsia="仿宋"/>
                <w:bCs/>
                <w:szCs w:val="21"/>
              </w:rPr>
              <w:t>理财</w:t>
            </w:r>
            <w:r>
              <w:rPr>
                <w:rFonts w:ascii="仿宋" w:hAnsi="仿宋" w:eastAsia="仿宋"/>
                <w:bCs/>
                <w:szCs w:val="21"/>
              </w:rPr>
              <w:t>将于</w:t>
            </w:r>
            <w:r>
              <w:rPr>
                <w:rFonts w:hint="eastAsia" w:ascii="仿宋" w:hAnsi="仿宋" w:eastAsia="仿宋"/>
                <w:bCs/>
                <w:szCs w:val="21"/>
              </w:rPr>
              <w:t>原定成立日后2</w:t>
            </w:r>
            <w:r>
              <w:rPr>
                <w:rFonts w:ascii="仿宋" w:hAnsi="仿宋" w:eastAsia="仿宋"/>
                <w:bCs/>
                <w:szCs w:val="21"/>
              </w:rPr>
              <w:t>个工作日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本产品说明书约定的信息披露渠道</w:t>
            </w:r>
            <w:r>
              <w:rPr>
                <w:rFonts w:ascii="仿宋" w:hAnsi="仿宋" w:eastAsia="仿宋"/>
                <w:bCs/>
                <w:szCs w:val="21"/>
              </w:rPr>
              <w:t>发布本理财产品不成立的公告</w:t>
            </w:r>
            <w:r>
              <w:rPr>
                <w:rFonts w:hint="eastAsia" w:ascii="仿宋" w:hAnsi="仿宋" w:eastAsia="仿宋"/>
                <w:bCs/>
                <w:szCs w:val="21"/>
              </w:rPr>
              <w:t>。通过华夏银行/华夏理财购买的，将</w:t>
            </w:r>
            <w:r>
              <w:rPr>
                <w:rFonts w:ascii="仿宋" w:hAnsi="仿宋" w:eastAsia="仿宋"/>
                <w:bCs/>
                <w:szCs w:val="21"/>
              </w:rPr>
              <w:t>于原定成立日</w:t>
            </w:r>
            <w:r>
              <w:rPr>
                <w:rFonts w:hint="eastAsia" w:ascii="仿宋" w:hAnsi="仿宋" w:eastAsia="仿宋"/>
                <w:bCs/>
                <w:szCs w:val="21"/>
              </w:rPr>
              <w:t>后</w:t>
            </w:r>
            <w:r>
              <w:rPr>
                <w:rFonts w:ascii="仿宋" w:hAnsi="仿宋" w:eastAsia="仿宋"/>
                <w:bCs/>
                <w:szCs w:val="21"/>
              </w:rPr>
              <w:t>2个工作日内将已</w:t>
            </w:r>
            <w:r>
              <w:rPr>
                <w:rFonts w:hint="eastAsia" w:ascii="仿宋" w:hAnsi="仿宋" w:eastAsia="仿宋"/>
                <w:bCs/>
                <w:szCs w:val="21"/>
              </w:rPr>
              <w:t>募集</w:t>
            </w:r>
            <w:r>
              <w:rPr>
                <w:rFonts w:ascii="仿宋" w:hAnsi="仿宋" w:eastAsia="仿宋"/>
                <w:bCs/>
                <w:szCs w:val="21"/>
              </w:rPr>
              <w:t>资金退回</w:t>
            </w:r>
            <w:r>
              <w:rPr>
                <w:rFonts w:hint="eastAsia" w:ascii="仿宋" w:hAnsi="仿宋" w:eastAsia="仿宋"/>
                <w:bCs/>
                <w:szCs w:val="21"/>
              </w:rPr>
              <w:t>华夏银行/华夏理财客户</w:t>
            </w:r>
            <w:r>
              <w:rPr>
                <w:rFonts w:ascii="仿宋" w:hAnsi="仿宋" w:eastAsia="仿宋"/>
                <w:bCs/>
                <w:szCs w:val="21"/>
              </w:rPr>
              <w:t>的</w:t>
            </w:r>
            <w:r>
              <w:rPr>
                <w:rFonts w:hint="eastAsia" w:ascii="仿宋" w:hAnsi="仿宋" w:eastAsia="仿宋"/>
                <w:bCs/>
                <w:szCs w:val="21"/>
              </w:rPr>
              <w:t>理财签约</w:t>
            </w:r>
            <w:r>
              <w:rPr>
                <w:rFonts w:ascii="仿宋" w:hAnsi="仿宋" w:eastAsia="仿宋"/>
                <w:bCs/>
                <w:szCs w:val="21"/>
              </w:rPr>
              <w:t>账户</w:t>
            </w:r>
            <w:r>
              <w:rPr>
                <w:rFonts w:hint="eastAsia" w:ascii="仿宋" w:hAnsi="仿宋" w:eastAsia="仿宋"/>
                <w:bCs/>
                <w:szCs w:val="21"/>
              </w:rPr>
              <w:t>内（</w:t>
            </w:r>
            <w:r>
              <w:rPr>
                <w:rFonts w:hint="eastAsia" w:ascii="仿宋" w:hAnsi="仿宋" w:eastAsia="仿宋"/>
                <w:b/>
                <w:szCs w:val="21"/>
              </w:rPr>
              <w:t>原定</w:t>
            </w:r>
            <w:r>
              <w:rPr>
                <w:rFonts w:ascii="仿宋" w:hAnsi="仿宋" w:eastAsia="仿宋"/>
                <w:b/>
                <w:szCs w:val="21"/>
              </w:rPr>
              <w:t>成立日至资金到账日之间</w:t>
            </w:r>
            <w:r>
              <w:rPr>
                <w:rFonts w:hint="eastAsia" w:ascii="仿宋" w:hAnsi="仿宋" w:eastAsia="仿宋"/>
                <w:b/>
                <w:szCs w:val="21"/>
              </w:rPr>
              <w:t>不计</w:t>
            </w:r>
            <w:r>
              <w:rPr>
                <w:rFonts w:ascii="仿宋" w:hAnsi="仿宋" w:eastAsia="仿宋"/>
                <w:b/>
                <w:szCs w:val="21"/>
              </w:rPr>
              <w:t>利息</w:t>
            </w:r>
            <w:r>
              <w:rPr>
                <w:rFonts w:hint="eastAsia" w:ascii="仿宋" w:hAnsi="仿宋" w:eastAsia="仿宋"/>
                <w:bCs/>
                <w:szCs w:val="21"/>
              </w:rPr>
              <w:t>）；通过其他代销机构购买的，客户已募集资金退回的具体到账账户、到账日及到账时间以代销机构划付规定为准</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认购</w:t>
            </w:r>
            <w:r>
              <w:rPr>
                <w:rFonts w:hint="eastAsia" w:ascii="仿宋" w:hAnsi="仿宋" w:eastAsia="仿宋"/>
                <w:bCs/>
                <w:szCs w:val="21"/>
              </w:rPr>
              <w:t>/</w:t>
            </w:r>
            <w:r>
              <w:rPr>
                <w:rFonts w:ascii="仿宋" w:hAnsi="仿宋" w:eastAsia="仿宋"/>
                <w:bCs/>
                <w:szCs w:val="21"/>
              </w:rPr>
              <w:t>申购</w:t>
            </w:r>
          </w:p>
          <w:p>
            <w:pPr>
              <w:adjustRightInd w:val="0"/>
              <w:snapToGrid w:val="0"/>
              <w:spacing w:line="240" w:lineRule="atLeast"/>
              <w:jc w:val="center"/>
              <w:rPr>
                <w:rFonts w:ascii="仿宋" w:hAnsi="仿宋" w:eastAsia="仿宋"/>
                <w:bCs/>
                <w:szCs w:val="21"/>
              </w:rPr>
            </w:pPr>
            <w:r>
              <w:rPr>
                <w:rFonts w:ascii="仿宋" w:hAnsi="仿宋" w:eastAsia="仿宋"/>
                <w:bCs/>
                <w:szCs w:val="21"/>
              </w:rPr>
              <w:t>起点金额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cs="Cambria"/>
                <w:bCs/>
                <w:szCs w:val="21"/>
              </w:rPr>
              <w:t>A份额：</w:t>
            </w:r>
            <w:r>
              <w:rPr>
                <w:rFonts w:hint="eastAsia" w:ascii="仿宋" w:hAnsi="仿宋" w:eastAsia="仿宋"/>
                <w:bCs/>
                <w:szCs w:val="21"/>
              </w:rPr>
              <w:t>1元，以1元的整数倍递增。</w:t>
            </w:r>
          </w:p>
          <w:p>
            <w:pPr>
              <w:adjustRightInd w:val="0"/>
              <w:snapToGrid w:val="0"/>
              <w:spacing w:line="240" w:lineRule="atLeast"/>
              <w:ind w:firstLine="420" w:firstLineChars="200"/>
              <w:rPr>
                <w:rFonts w:ascii="仿宋" w:hAnsi="仿宋" w:eastAsia="仿宋"/>
                <w:bCs/>
                <w:szCs w:val="21"/>
              </w:rPr>
            </w:pPr>
            <w:r>
              <w:rPr>
                <w:rFonts w:ascii="仿宋" w:hAnsi="仿宋" w:eastAsia="仿宋" w:cs="Cambria"/>
                <w:bCs/>
                <w:szCs w:val="21"/>
              </w:rPr>
              <w:t>B</w:t>
            </w:r>
            <w:r>
              <w:rPr>
                <w:rFonts w:hint="eastAsia" w:ascii="仿宋" w:hAnsi="仿宋" w:eastAsia="仿宋" w:cs="Cambria"/>
                <w:bCs/>
                <w:szCs w:val="21"/>
              </w:rPr>
              <w:t>份额：</w:t>
            </w:r>
            <w:r>
              <w:rPr>
                <w:rFonts w:hint="eastAsia" w:ascii="仿宋" w:hAnsi="仿宋" w:eastAsia="仿宋"/>
                <w:bCs/>
                <w:szCs w:val="21"/>
              </w:rPr>
              <w:t>1元，以1元的整数倍递增。</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cs="Cambria"/>
                <w:bCs/>
                <w:szCs w:val="21"/>
              </w:rPr>
              <w:t>C份额：</w:t>
            </w:r>
            <w:r>
              <w:rPr>
                <w:rFonts w:hint="eastAsia" w:ascii="仿宋" w:hAnsi="仿宋" w:eastAsia="仿宋"/>
                <w:bCs/>
                <w:szCs w:val="21"/>
              </w:rPr>
              <w:t>1元，以1元的整数倍递增。</w:t>
            </w:r>
          </w:p>
          <w:p>
            <w:pPr>
              <w:adjustRightInd w:val="0"/>
              <w:snapToGrid w:val="0"/>
              <w:spacing w:line="240" w:lineRule="atLeast"/>
              <w:ind w:firstLine="420" w:firstLineChars="200"/>
              <w:rPr>
                <w:rFonts w:ascii="仿宋" w:hAnsi="仿宋" w:eastAsia="仿宋"/>
                <w:bCs/>
                <w:szCs w:val="21"/>
              </w:rPr>
            </w:pPr>
            <w:r>
              <w:rPr>
                <w:rFonts w:ascii="仿宋" w:hAnsi="仿宋" w:eastAsia="仿宋" w:cs="Cambria"/>
                <w:bCs/>
                <w:szCs w:val="21"/>
              </w:rPr>
              <w:t>D</w:t>
            </w:r>
            <w:r>
              <w:rPr>
                <w:rFonts w:hint="eastAsia" w:ascii="仿宋" w:hAnsi="仿宋" w:eastAsia="仿宋" w:cs="Cambria"/>
                <w:bCs/>
                <w:szCs w:val="21"/>
              </w:rPr>
              <w:t>份额：</w:t>
            </w:r>
            <w:r>
              <w:rPr>
                <w:rFonts w:hint="eastAsia" w:ascii="仿宋" w:hAnsi="仿宋" w:eastAsia="仿宋"/>
                <w:bCs/>
                <w:szCs w:val="21"/>
              </w:rPr>
              <w:t>1元，以1元的整数倍递增。</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cs="Cambria"/>
                <w:bCs/>
                <w:szCs w:val="21"/>
              </w:rPr>
              <w:t>H份额：</w:t>
            </w:r>
            <w:r>
              <w:rPr>
                <w:rFonts w:hint="eastAsia" w:ascii="仿宋" w:hAnsi="仿宋" w:eastAsia="仿宋"/>
                <w:bCs/>
                <w:szCs w:val="21"/>
              </w:rPr>
              <w:t>30万元（在华夏银行渠道面向机构投资者的销售起点为3</w:t>
            </w:r>
            <w:r>
              <w:rPr>
                <w:rFonts w:ascii="仿宋" w:hAnsi="仿宋" w:eastAsia="仿宋"/>
                <w:bCs/>
                <w:szCs w:val="21"/>
              </w:rPr>
              <w:t>,</w:t>
            </w:r>
            <w:r>
              <w:rPr>
                <w:rFonts w:hint="eastAsia" w:ascii="仿宋" w:hAnsi="仿宋" w:eastAsia="仿宋"/>
                <w:bCs/>
                <w:szCs w:val="21"/>
              </w:rPr>
              <w:t>000万元），以1元的整数倍递增。</w:t>
            </w:r>
          </w:p>
          <w:p>
            <w:pPr>
              <w:adjustRightInd w:val="0"/>
              <w:snapToGrid w:val="0"/>
              <w:spacing w:line="240" w:lineRule="atLeast"/>
              <w:ind w:firstLine="420" w:firstLineChars="200"/>
              <w:rPr>
                <w:rFonts w:hint="eastAsia" w:ascii="仿宋" w:hAnsi="仿宋" w:eastAsia="仿宋"/>
                <w:bCs/>
                <w:szCs w:val="21"/>
              </w:rPr>
            </w:pPr>
            <w:r>
              <w:rPr>
                <w:rFonts w:ascii="仿宋" w:hAnsi="仿宋" w:eastAsia="仿宋" w:cs="Cambria"/>
                <w:bCs/>
                <w:szCs w:val="21"/>
              </w:rPr>
              <w:t>M</w:t>
            </w:r>
            <w:r>
              <w:rPr>
                <w:rFonts w:hint="eastAsia" w:ascii="仿宋" w:hAnsi="仿宋" w:eastAsia="仿宋" w:cs="Cambria"/>
                <w:bCs/>
                <w:szCs w:val="21"/>
              </w:rPr>
              <w:t>份额：</w:t>
            </w:r>
            <w:r>
              <w:rPr>
                <w:rFonts w:hint="eastAsia" w:ascii="仿宋" w:hAnsi="仿宋" w:eastAsia="仿宋"/>
                <w:bCs/>
                <w:szCs w:val="21"/>
              </w:rPr>
              <w:t>1元，以1元的整数倍递增。</w:t>
            </w:r>
          </w:p>
          <w:p>
            <w:pPr>
              <w:adjustRightInd w:val="0"/>
              <w:snapToGrid w:val="0"/>
              <w:spacing w:line="240" w:lineRule="atLeast"/>
              <w:ind w:firstLine="420" w:firstLineChars="200"/>
              <w:rPr>
                <w:rFonts w:hint="eastAsia" w:ascii="仿宋" w:hAnsi="仿宋" w:eastAsia="仿宋"/>
                <w:bCs/>
                <w:szCs w:val="21"/>
              </w:rPr>
            </w:pPr>
            <w:r>
              <w:rPr>
                <w:rFonts w:hint="eastAsia" w:ascii="仿宋" w:hAnsi="仿宋" w:eastAsia="仿宋" w:cs="Cambria"/>
                <w:bCs/>
                <w:szCs w:val="21"/>
                <w:lang w:val="en-US" w:eastAsia="zh-CN"/>
              </w:rPr>
              <w:t>O</w:t>
            </w:r>
            <w:r>
              <w:rPr>
                <w:rFonts w:hint="eastAsia" w:ascii="仿宋" w:hAnsi="仿宋" w:eastAsia="仿宋" w:cs="Cambria"/>
                <w:bCs/>
                <w:szCs w:val="21"/>
              </w:rPr>
              <w:t>份额：</w:t>
            </w:r>
            <w:r>
              <w:rPr>
                <w:rFonts w:hint="eastAsia" w:ascii="仿宋" w:hAnsi="仿宋" w:eastAsia="仿宋"/>
                <w:bCs/>
                <w:szCs w:val="21"/>
              </w:rPr>
              <w:t>1元，以1元的整数倍递增。</w:t>
            </w:r>
          </w:p>
          <w:p>
            <w:pPr>
              <w:adjustRightInd w:val="0"/>
              <w:snapToGrid w:val="0"/>
              <w:spacing w:line="240" w:lineRule="atLeast"/>
              <w:ind w:firstLine="420" w:firstLineChars="200"/>
              <w:rPr>
                <w:rFonts w:hint="eastAsia" w:ascii="仿宋" w:hAnsi="仿宋" w:eastAsia="仿宋"/>
                <w:bCs/>
                <w:szCs w:val="21"/>
              </w:rPr>
            </w:pPr>
            <w:r>
              <w:rPr>
                <w:rFonts w:hint="eastAsia" w:ascii="仿宋" w:hAnsi="仿宋" w:eastAsia="仿宋" w:cs="Cambria"/>
                <w:bCs/>
                <w:szCs w:val="21"/>
                <w:lang w:val="en-US" w:eastAsia="zh-CN"/>
              </w:rPr>
              <w:t>W</w:t>
            </w:r>
            <w:r>
              <w:rPr>
                <w:rFonts w:hint="eastAsia" w:ascii="仿宋" w:hAnsi="仿宋" w:eastAsia="仿宋" w:cs="Cambria"/>
                <w:bCs/>
                <w:szCs w:val="21"/>
              </w:rPr>
              <w:t>份额：</w:t>
            </w:r>
            <w:r>
              <w:rPr>
                <w:rFonts w:hint="eastAsia" w:ascii="仿宋" w:hAnsi="仿宋" w:eastAsia="仿宋"/>
                <w:bCs/>
                <w:szCs w:val="21"/>
              </w:rPr>
              <w:t>1元，以1元的整数倍递增。</w:t>
            </w:r>
          </w:p>
          <w:p>
            <w:pPr>
              <w:adjustRightInd w:val="0"/>
              <w:snapToGrid w:val="0"/>
              <w:spacing w:line="240" w:lineRule="atLeast"/>
              <w:ind w:firstLine="420" w:firstLineChars="200"/>
              <w:rPr>
                <w:rFonts w:hint="eastAsia" w:ascii="仿宋" w:hAnsi="仿宋" w:eastAsia="仿宋"/>
                <w:bCs/>
                <w:szCs w:val="21"/>
              </w:rPr>
            </w:pPr>
            <w:r>
              <w:rPr>
                <w:rFonts w:hint="eastAsia" w:ascii="仿宋" w:hAnsi="仿宋" w:eastAsia="仿宋" w:cs="Cambria"/>
                <w:bCs/>
                <w:szCs w:val="21"/>
                <w:lang w:val="en-US" w:eastAsia="zh-CN"/>
              </w:rPr>
              <w:t>Y</w:t>
            </w:r>
            <w:r>
              <w:rPr>
                <w:rFonts w:hint="eastAsia" w:ascii="仿宋" w:hAnsi="仿宋" w:eastAsia="仿宋" w:cs="Cambria"/>
                <w:bCs/>
                <w:szCs w:val="21"/>
              </w:rPr>
              <w:t>份额：</w:t>
            </w:r>
            <w:r>
              <w:rPr>
                <w:rFonts w:hint="eastAsia" w:ascii="仿宋" w:hAnsi="仿宋" w:eastAsia="仿宋"/>
                <w:bCs/>
                <w:szCs w:val="21"/>
              </w:rPr>
              <w:t>1元，以1元的整数倍递增。</w:t>
            </w:r>
          </w:p>
          <w:p>
            <w:pPr>
              <w:adjustRightInd w:val="0"/>
              <w:snapToGrid w:val="0"/>
              <w:spacing w:line="240" w:lineRule="atLeast"/>
              <w:ind w:firstLine="420" w:firstLineChars="200"/>
              <w:rPr>
                <w:rFonts w:ascii="仿宋" w:hAnsi="仿宋" w:eastAsia="仿宋"/>
                <w:bCs/>
                <w:szCs w:val="21"/>
              </w:rPr>
            </w:pPr>
            <w:r>
              <w:rPr>
                <w:rFonts w:ascii="仿宋" w:hAnsi="仿宋" w:eastAsia="仿宋" w:cs="Cambria"/>
                <w:bCs/>
                <w:szCs w:val="21"/>
              </w:rPr>
              <w:t>Z</w:t>
            </w:r>
            <w:r>
              <w:rPr>
                <w:rFonts w:hint="eastAsia" w:ascii="仿宋" w:hAnsi="仿宋" w:eastAsia="仿宋" w:cs="Cambria"/>
                <w:bCs/>
                <w:szCs w:val="21"/>
              </w:rPr>
              <w:t>份额：</w:t>
            </w:r>
            <w:r>
              <w:rPr>
                <w:rFonts w:hint="eastAsia" w:ascii="仿宋" w:hAnsi="仿宋" w:eastAsia="仿宋"/>
                <w:bCs/>
                <w:szCs w:val="21"/>
              </w:rPr>
              <w:t>1元，以1元的整数倍递增。</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rPr>
              <w:t>如代销机构规定与本规则不一致的，则以各代销机构规定为准，但不得低于本起点金额。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color w:val="000000"/>
                <w:szCs w:val="21"/>
              </w:rPr>
              <w:t>最高持有限额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最高持有限额要求：单一投资者持有本产品份额数不得超过本产品份额总数的 50%。</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rPr>
              <w:t>如代销机构规定与本规则不一致的，则以各代销机构规定为准，但不得高于最高持有限额。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追加</w:t>
            </w:r>
            <w:r>
              <w:rPr>
                <w:rFonts w:hint="eastAsia" w:ascii="仿宋" w:hAnsi="仿宋" w:eastAsia="仿宋"/>
                <w:bCs/>
                <w:szCs w:val="21"/>
              </w:rPr>
              <w:t xml:space="preserve">购买     </w:t>
            </w:r>
            <w:r>
              <w:rPr>
                <w:rFonts w:ascii="仿宋" w:hAnsi="仿宋" w:eastAsia="仿宋"/>
                <w:bCs/>
                <w:szCs w:val="21"/>
              </w:rPr>
              <w:t>最低金额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ascii="仿宋" w:hAnsi="仿宋" w:eastAsia="仿宋"/>
                <w:bCs/>
                <w:szCs w:val="21"/>
              </w:rPr>
              <w:t>1元，以1元的整数倍追加</w:t>
            </w:r>
            <w:r>
              <w:rPr>
                <w:rFonts w:hint="eastAsia" w:ascii="仿宋" w:hAnsi="仿宋" w:eastAsia="仿宋"/>
                <w:bCs/>
                <w:szCs w:val="21"/>
              </w:rPr>
              <w:t>。</w:t>
            </w:r>
          </w:p>
          <w:p>
            <w:pPr>
              <w:adjustRightInd w:val="0"/>
              <w:snapToGrid w:val="0"/>
              <w:spacing w:line="240" w:lineRule="atLeast"/>
              <w:ind w:firstLine="420"/>
              <w:rPr>
                <w:rFonts w:ascii="仿宋" w:hAnsi="仿宋" w:eastAsia="仿宋"/>
                <w:bCs/>
                <w:szCs w:val="21"/>
              </w:rPr>
            </w:pPr>
            <w:r>
              <w:rPr>
                <w:rFonts w:hint="eastAsia" w:ascii="仿宋" w:hAnsi="仿宋" w:eastAsia="仿宋"/>
              </w:rPr>
              <w:t>如代销机构规定与本规则不一致，则以各代销机构规定为准，但不得低于本追加起点金额。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单笔赎回</w:t>
            </w:r>
            <w:r>
              <w:rPr>
                <w:rFonts w:hint="eastAsia" w:ascii="仿宋" w:hAnsi="仿宋" w:eastAsia="仿宋"/>
                <w:bCs/>
                <w:szCs w:val="21"/>
              </w:rPr>
              <w:t xml:space="preserve">     </w:t>
            </w:r>
            <w:r>
              <w:rPr>
                <w:rFonts w:ascii="仿宋" w:hAnsi="仿宋" w:eastAsia="仿宋"/>
                <w:bCs/>
                <w:szCs w:val="21"/>
              </w:rPr>
              <w:t>最低</w:t>
            </w:r>
            <w:r>
              <w:rPr>
                <w:rFonts w:hint="eastAsia" w:ascii="仿宋" w:hAnsi="仿宋" w:eastAsia="仿宋"/>
                <w:bCs/>
                <w:szCs w:val="21"/>
              </w:rPr>
              <w:t>限</w:t>
            </w:r>
            <w:r>
              <w:rPr>
                <w:rFonts w:ascii="仿宋" w:hAnsi="仿宋" w:eastAsia="仿宋"/>
                <w:bCs/>
                <w:szCs w:val="21"/>
              </w:rPr>
              <w:t>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0.01份</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如代销机构规定与本规则不一致，则以各代销机构规定为准，但不得低于本条款约定限额。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理财账户</w:t>
            </w:r>
            <w:r>
              <w:rPr>
                <w:rFonts w:hint="eastAsia" w:ascii="仿宋" w:hAnsi="仿宋" w:eastAsia="仿宋"/>
                <w:bCs/>
                <w:szCs w:val="21"/>
              </w:rPr>
              <w:t xml:space="preserve">     </w:t>
            </w:r>
            <w:r>
              <w:rPr>
                <w:rFonts w:ascii="仿宋" w:hAnsi="仿宋" w:eastAsia="仿宋"/>
                <w:bCs/>
                <w:szCs w:val="21"/>
              </w:rPr>
              <w:t>最低保留</w:t>
            </w:r>
            <w:r>
              <w:rPr>
                <w:rFonts w:hint="eastAsia" w:ascii="仿宋" w:hAnsi="仿宋" w:eastAsia="仿宋"/>
                <w:bCs/>
                <w:szCs w:val="21"/>
              </w:rPr>
              <w:t>限</w:t>
            </w:r>
            <w:r>
              <w:rPr>
                <w:rFonts w:ascii="仿宋" w:hAnsi="仿宋" w:eastAsia="仿宋"/>
                <w:bCs/>
                <w:szCs w:val="21"/>
              </w:rPr>
              <w:t>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0.01份</w:t>
            </w:r>
          </w:p>
          <w:p>
            <w:pPr>
              <w:adjustRightInd w:val="0"/>
              <w:snapToGrid w:val="0"/>
              <w:spacing w:line="240" w:lineRule="atLeast"/>
              <w:ind w:firstLine="420"/>
              <w:rPr>
                <w:rFonts w:ascii="仿宋" w:hAnsi="仿宋" w:eastAsia="仿宋"/>
                <w:bCs/>
                <w:szCs w:val="21"/>
              </w:rPr>
            </w:pPr>
            <w:r>
              <w:rPr>
                <w:rFonts w:hint="eastAsia" w:ascii="仿宋" w:hAnsi="仿宋" w:eastAsia="仿宋"/>
                <w:b/>
                <w:szCs w:val="21"/>
              </w:rPr>
              <w:t>投资者发起赎回交易时，将触发判断理财账户份额余额是否低于最低保留限额要求，可能引发强制赎回交易，具体约定详见“赎回规定”。</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如代销机构规定与本规则不一致，则以各代销机构规定为准，但不得低于本条款约定限额。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份额净值</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份额净值为提取管理费、托管费、销售手续费等相关费用后的理财产品份额净值，投资者按该份额净值进行申购、赎回和到期/终止时的分配。</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份额净值的计算保留到小数点后</w:t>
            </w:r>
            <w:r>
              <w:rPr>
                <w:rFonts w:ascii="仿宋" w:hAnsi="仿宋" w:eastAsia="仿宋"/>
                <w:bCs/>
                <w:szCs w:val="21"/>
              </w:rPr>
              <w:t xml:space="preserve"> 4 </w:t>
            </w:r>
            <w:r>
              <w:rPr>
                <w:rFonts w:hint="eastAsia" w:ascii="仿宋" w:hAnsi="仿宋" w:eastAsia="仿宋"/>
                <w:bCs/>
                <w:szCs w:val="21"/>
              </w:rPr>
              <w:t>位，小数点后第</w:t>
            </w:r>
            <w:r>
              <w:rPr>
                <w:rFonts w:ascii="仿宋" w:hAnsi="仿宋" w:eastAsia="仿宋"/>
                <w:bCs/>
                <w:szCs w:val="21"/>
              </w:rPr>
              <w:t xml:space="preserve"> 5 </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认购份额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认购份额=认购金额/1元。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申购份额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u w:val="single"/>
              </w:rPr>
            </w:pPr>
            <w:r>
              <w:rPr>
                <w:rFonts w:ascii="仿宋" w:hAnsi="仿宋" w:eastAsia="仿宋"/>
                <w:bCs/>
                <w:szCs w:val="21"/>
              </w:rPr>
              <w:t>申购份额＝申购金额/申购</w:t>
            </w:r>
            <w:r>
              <w:rPr>
                <w:rFonts w:hint="eastAsia" w:ascii="仿宋" w:hAnsi="仿宋" w:eastAsia="仿宋"/>
                <w:bCs/>
                <w:szCs w:val="21"/>
              </w:rPr>
              <w:t>申请日日终的产品份额净值,申购份额保留到小数点后</w:t>
            </w:r>
            <w:r>
              <w:rPr>
                <w:rFonts w:ascii="仿宋" w:hAnsi="仿宋" w:eastAsia="仿宋"/>
                <w:bCs/>
                <w:szCs w:val="21"/>
              </w:rPr>
              <w:t xml:space="preserve"> 2 </w:t>
            </w:r>
            <w:r>
              <w:rPr>
                <w:rFonts w:hint="eastAsia" w:ascii="仿宋" w:hAnsi="仿宋" w:eastAsia="仿宋"/>
                <w:bCs/>
                <w:szCs w:val="21"/>
              </w:rPr>
              <w:t>位，小数点后第</w:t>
            </w:r>
            <w:r>
              <w:rPr>
                <w:rFonts w:ascii="仿宋" w:hAnsi="仿宋" w:eastAsia="仿宋"/>
                <w:bCs/>
                <w:szCs w:val="21"/>
              </w:rPr>
              <w:t xml:space="preserve"> 3 </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工作日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本说明书中所写的“确认日”、“到账日”，除非特别说明均为工作日，若遇非工作日顺延至下一工作日。</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指上海证券交易所和深圳证券交易所的交易日，且同时为银行对外办理一般对公业务的工作日。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开放日（T日）及开放时间</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开放日为产品成立后每个</w:t>
            </w:r>
            <w:r>
              <w:rPr>
                <w:rFonts w:ascii="仿宋" w:hAnsi="仿宋" w:eastAsia="仿宋"/>
                <w:bCs/>
                <w:szCs w:val="21"/>
              </w:rPr>
              <w:t>工作日</w:t>
            </w:r>
            <w:r>
              <w:rPr>
                <w:rFonts w:hint="eastAsia" w:ascii="仿宋" w:hAnsi="仿宋" w:eastAsia="仿宋"/>
                <w:bCs/>
                <w:szCs w:val="21"/>
              </w:rPr>
              <w:t>，开放日如遇非工作日则顺延至下一个工作日。</w:t>
            </w:r>
          </w:p>
          <w:p>
            <w:pPr>
              <w:adjustRightInd w:val="0"/>
              <w:snapToGrid w:val="0"/>
              <w:spacing w:line="240" w:lineRule="atLeast"/>
              <w:ind w:right="-44"/>
              <w:rPr>
                <w:rFonts w:ascii="仿宋" w:hAnsi="仿宋" w:eastAsia="仿宋"/>
                <w:bCs/>
                <w:szCs w:val="21"/>
              </w:rPr>
            </w:pPr>
            <w:r>
              <w:rPr>
                <w:rFonts w:hint="eastAsia" w:ascii="仿宋" w:hAnsi="仿宋" w:eastAsia="仿宋"/>
                <w:szCs w:val="21"/>
              </w:rPr>
              <w:t xml:space="preserve">    </w:t>
            </w:r>
            <w:r>
              <w:rPr>
                <w:rFonts w:hint="eastAsia" w:ascii="仿宋" w:hAnsi="仿宋" w:eastAsia="仿宋"/>
                <w:bCs/>
                <w:szCs w:val="21"/>
              </w:rPr>
              <w:t>通过华夏银行/华夏理财购买的，</w:t>
            </w:r>
            <w:r>
              <w:rPr>
                <w:rFonts w:hint="eastAsia" w:ascii="仿宋" w:hAnsi="仿宋" w:eastAsia="仿宋"/>
                <w:szCs w:val="21"/>
              </w:rPr>
              <w:t xml:space="preserve">每个开放日的开放时间为 </w:t>
            </w:r>
            <w:r>
              <w:rPr>
                <w:rFonts w:ascii="仿宋" w:hAnsi="仿宋" w:eastAsia="仿宋"/>
                <w:u w:val="single"/>
              </w:rPr>
              <w:t>9</w:t>
            </w:r>
            <w:r>
              <w:rPr>
                <w:rFonts w:hint="eastAsia" w:ascii="仿宋" w:hAnsi="仿宋" w:eastAsia="仿宋"/>
                <w:u w:val="single"/>
              </w:rPr>
              <w:t>:00-</w:t>
            </w:r>
            <w:r>
              <w:rPr>
                <w:rFonts w:ascii="仿宋" w:hAnsi="仿宋" w:eastAsia="仿宋"/>
                <w:u w:val="single"/>
              </w:rPr>
              <w:t>15</w:t>
            </w:r>
            <w:r>
              <w:rPr>
                <w:rFonts w:hint="eastAsia" w:ascii="仿宋" w:hAnsi="仿宋" w:eastAsia="仿宋"/>
                <w:u w:val="single"/>
              </w:rPr>
              <w:t>:</w:t>
            </w:r>
            <w:r>
              <w:rPr>
                <w:rFonts w:ascii="仿宋" w:hAnsi="仿宋" w:eastAsia="仿宋"/>
                <w:u w:val="single"/>
              </w:rPr>
              <w:t>3</w:t>
            </w:r>
            <w:r>
              <w:rPr>
                <w:rFonts w:hint="eastAsia" w:ascii="仿宋" w:hAnsi="仿宋" w:eastAsia="仿宋"/>
                <w:u w:val="single"/>
              </w:rPr>
              <w:t>0</w:t>
            </w:r>
            <w:r>
              <w:rPr>
                <w:rFonts w:ascii="仿宋" w:hAnsi="仿宋" w:eastAsia="仿宋"/>
                <w:bCs/>
                <w:szCs w:val="21"/>
              </w:rPr>
              <w:t xml:space="preserve"> </w:t>
            </w:r>
            <w:r>
              <w:rPr>
                <w:rFonts w:hint="eastAsia" w:ascii="仿宋" w:hAnsi="仿宋" w:eastAsia="仿宋"/>
                <w:bCs/>
                <w:szCs w:val="21"/>
              </w:rPr>
              <w:t>，</w:t>
            </w:r>
            <w:r>
              <w:rPr>
                <w:rFonts w:hint="eastAsia" w:ascii="仿宋" w:hAnsi="仿宋" w:eastAsia="仿宋"/>
              </w:rPr>
              <w:t>通过其他代销机构购买的，</w:t>
            </w:r>
            <w:r>
              <w:rPr>
                <w:rFonts w:hint="eastAsia" w:ascii="仿宋" w:hAnsi="仿宋" w:eastAsia="仿宋"/>
                <w:bCs/>
                <w:szCs w:val="21"/>
              </w:rPr>
              <w:t>每个开放日的开放时间</w:t>
            </w:r>
            <w:r>
              <w:rPr>
                <w:rFonts w:hint="eastAsia" w:ascii="仿宋" w:hAnsi="仿宋" w:eastAsia="仿宋"/>
              </w:rPr>
              <w:t>以代销机构规定为准</w:t>
            </w:r>
            <w:r>
              <w:rPr>
                <w:rFonts w:hint="eastAsia" w:ascii="仿宋" w:hAnsi="仿宋" w:eastAsia="仿宋"/>
                <w:szCs w:val="21"/>
              </w:rPr>
              <w:t>。</w:t>
            </w:r>
          </w:p>
          <w:p>
            <w:pPr>
              <w:adjustRightInd w:val="0"/>
              <w:snapToGrid w:val="0"/>
              <w:spacing w:line="240" w:lineRule="atLeast"/>
              <w:ind w:right="-44" w:firstLine="420" w:firstLineChars="200"/>
              <w:jc w:val="left"/>
              <w:rPr>
                <w:rFonts w:ascii="仿宋" w:hAnsi="仿宋" w:eastAsia="仿宋"/>
                <w:szCs w:val="21"/>
              </w:rPr>
            </w:pPr>
            <w:r>
              <w:rPr>
                <w:rFonts w:hint="eastAsia" w:ascii="仿宋" w:hAnsi="仿宋" w:eastAsia="仿宋"/>
                <w:szCs w:val="21"/>
              </w:rPr>
              <w:t>在本理财产品存续期间，如投资者在开放日开放时间内提交申购申请，华夏理财作为当日申购申请处理，该申请只能于当日开放时间内撤销；如投资者在开放日开放时间结束后及非开放日提交申购申请，通过华夏银行/华夏理财购买的，作为下一开放日申购申请处理，该申请只能于下一开放日开放时间结束前撤销；通过其他代销机构购买的，业务处理规则以该代销机构业务规定为准。</w:t>
            </w:r>
          </w:p>
          <w:p>
            <w:pPr>
              <w:adjustRightInd w:val="0"/>
              <w:snapToGrid w:val="0"/>
              <w:spacing w:line="240" w:lineRule="atLeast"/>
              <w:ind w:right="-44" w:firstLine="422" w:firstLineChars="200"/>
              <w:jc w:val="left"/>
              <w:rPr>
                <w:rFonts w:ascii="仿宋" w:hAnsi="仿宋" w:eastAsia="仿宋"/>
                <w:bCs/>
                <w:szCs w:val="21"/>
              </w:rPr>
            </w:pPr>
            <w:r>
              <w:rPr>
                <w:rFonts w:hint="eastAsia" w:ascii="仿宋" w:hAnsi="仿宋" w:eastAsia="仿宋"/>
                <w:b/>
                <w:bCs/>
                <w:szCs w:val="21"/>
              </w:rPr>
              <w:t>每个开放日的份额净值</w:t>
            </w:r>
            <w:r>
              <w:rPr>
                <w:rFonts w:ascii="仿宋" w:hAnsi="仿宋" w:eastAsia="仿宋"/>
                <w:b/>
                <w:bCs/>
                <w:color w:val="000000"/>
                <w:szCs w:val="21"/>
              </w:rPr>
              <w:t>将</w:t>
            </w:r>
            <w:r>
              <w:rPr>
                <w:rFonts w:hint="eastAsia" w:ascii="仿宋" w:hAnsi="仿宋" w:eastAsia="仿宋"/>
                <w:b/>
                <w:bCs/>
                <w:color w:val="000000"/>
                <w:szCs w:val="21"/>
              </w:rPr>
              <w:t>随</w:t>
            </w:r>
            <w:r>
              <w:rPr>
                <w:rFonts w:ascii="仿宋" w:hAnsi="仿宋" w:eastAsia="仿宋"/>
                <w:b/>
                <w:bCs/>
                <w:color w:val="000000"/>
                <w:szCs w:val="21"/>
              </w:rPr>
              <w:t>市场波动，具有不</w:t>
            </w:r>
            <w:r>
              <w:rPr>
                <w:rFonts w:hint="eastAsia" w:ascii="仿宋" w:hAnsi="仿宋" w:eastAsia="仿宋"/>
                <w:b/>
                <w:bCs/>
                <w:color w:val="000000"/>
                <w:szCs w:val="21"/>
              </w:rPr>
              <w:t>确定</w:t>
            </w:r>
            <w:r>
              <w:rPr>
                <w:rFonts w:ascii="仿宋" w:hAnsi="仿宋" w:eastAsia="仿宋"/>
                <w:b/>
                <w:bCs/>
                <w:color w:val="000000"/>
                <w:szCs w:val="21"/>
              </w:rPr>
              <w:t>性</w:t>
            </w:r>
            <w:r>
              <w:rPr>
                <w:rFonts w:hint="eastAsia" w:ascii="仿宋" w:hAnsi="仿宋" w:eastAsia="仿宋"/>
                <w:b/>
                <w:bCs/>
                <w:color w:val="000000"/>
                <w:szCs w:val="21"/>
              </w:rPr>
              <w:t>。</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华夏理财有权调整按上述规则确定的开放日，并在调整之前3个工作日公告。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最短持有期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Cs/>
                <w:szCs w:val="21"/>
                <w:u w:val="single"/>
              </w:rPr>
            </w:pPr>
            <w:r>
              <w:rPr>
                <w:rFonts w:ascii="仿宋" w:hAnsi="仿宋" w:eastAsia="仿宋"/>
                <w:bCs/>
                <w:szCs w:val="21"/>
                <w:u w:val="single"/>
              </w:rPr>
              <w:t>7</w:t>
            </w:r>
            <w:r>
              <w:rPr>
                <w:rFonts w:hint="eastAsia" w:ascii="仿宋" w:hAnsi="仿宋" w:eastAsia="仿宋"/>
                <w:bCs/>
                <w:szCs w:val="21"/>
                <w:u w:val="single"/>
              </w:rPr>
              <w:t xml:space="preserve"> 个自然日，对投资者的每笔认/申购份额设置最短持有期限，即每笔认购份额从产品成立日（含）或每笔申购份额从申购申请确认日（含）起 </w:t>
            </w:r>
            <w:r>
              <w:rPr>
                <w:rFonts w:ascii="仿宋" w:hAnsi="仿宋" w:eastAsia="仿宋"/>
                <w:bCs/>
                <w:szCs w:val="21"/>
                <w:u w:val="single"/>
              </w:rPr>
              <w:t>7</w:t>
            </w:r>
            <w:r>
              <w:rPr>
                <w:rFonts w:hint="eastAsia" w:ascii="仿宋" w:hAnsi="仿宋" w:eastAsia="仿宋"/>
                <w:bCs/>
                <w:szCs w:val="21"/>
                <w:u w:val="single"/>
              </w:rPr>
              <w:t xml:space="preserve"> 个自然日前，投资者不能提起赎回申请；从该日起（含）之后每个开放日，客户可提交赎回申请，若该日为非开放日，则顺延至下一开放日。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申购及赎回</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投资者可在产品开放日的开放时间提出申购申请；</w:t>
            </w:r>
            <w:r>
              <w:rPr>
                <w:rFonts w:hint="eastAsia" w:ascii="仿宋" w:hAnsi="仿宋" w:eastAsia="仿宋"/>
                <w:b/>
                <w:szCs w:val="21"/>
              </w:rPr>
              <w:t>投资者仅可在满足最短持有期后，在产品开放日的开放时间提出赎回申请。</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预约购买及</w:t>
            </w:r>
          </w:p>
          <w:p>
            <w:pPr>
              <w:adjustRightInd w:val="0"/>
              <w:snapToGrid w:val="0"/>
              <w:spacing w:line="240" w:lineRule="atLeast"/>
              <w:jc w:val="center"/>
              <w:rPr>
                <w:rFonts w:ascii="仿宋" w:hAnsi="仿宋" w:eastAsia="仿宋"/>
                <w:bCs/>
                <w:szCs w:val="21"/>
              </w:rPr>
            </w:pPr>
            <w:r>
              <w:rPr>
                <w:rFonts w:ascii="仿宋" w:hAnsi="仿宋" w:eastAsia="仿宋"/>
                <w:bCs/>
                <w:szCs w:val="21"/>
              </w:rPr>
              <w:t>预约赎回</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本产品不支持预约购买。</w:t>
            </w:r>
          </w:p>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 xml:space="preserve">最短持有期内最后一个工作日 </w:t>
            </w:r>
            <w:r>
              <w:rPr>
                <w:rFonts w:ascii="仿宋" w:hAnsi="仿宋" w:eastAsia="仿宋"/>
                <w:u w:val="single"/>
              </w:rPr>
              <w:t>15</w:t>
            </w:r>
            <w:r>
              <w:rPr>
                <w:rFonts w:hint="eastAsia" w:ascii="仿宋" w:hAnsi="仿宋" w:eastAsia="仿宋"/>
                <w:u w:val="single"/>
              </w:rPr>
              <w:t>:</w:t>
            </w:r>
            <w:r>
              <w:rPr>
                <w:rFonts w:ascii="仿宋" w:hAnsi="仿宋" w:eastAsia="仿宋"/>
                <w:u w:val="single"/>
              </w:rPr>
              <w:t>3</w:t>
            </w:r>
            <w:r>
              <w:rPr>
                <w:rFonts w:hint="eastAsia" w:ascii="仿宋" w:hAnsi="仿宋" w:eastAsia="仿宋"/>
                <w:u w:val="single"/>
              </w:rPr>
              <w:t>0（不含）</w:t>
            </w:r>
            <w:r>
              <w:rPr>
                <w:rFonts w:ascii="仿宋" w:hAnsi="仿宋" w:eastAsia="仿宋"/>
                <w:bCs/>
                <w:szCs w:val="21"/>
              </w:rPr>
              <w:t xml:space="preserve"> </w:t>
            </w:r>
            <w:r>
              <w:rPr>
                <w:rFonts w:hint="eastAsia" w:ascii="仿宋" w:hAnsi="仿宋" w:eastAsia="仿宋"/>
                <w:bCs/>
                <w:szCs w:val="21"/>
              </w:rPr>
              <w:t>前，可接受通过</w:t>
            </w:r>
            <w:r>
              <w:rPr>
                <w:rFonts w:ascii="仿宋" w:hAnsi="仿宋" w:eastAsia="仿宋"/>
                <w:bCs/>
                <w:szCs w:val="21"/>
              </w:rPr>
              <w:t>华夏</w:t>
            </w:r>
            <w:r>
              <w:rPr>
                <w:rFonts w:hint="eastAsia" w:ascii="仿宋" w:hAnsi="仿宋" w:eastAsia="仿宋"/>
                <w:bCs/>
                <w:szCs w:val="21"/>
              </w:rPr>
              <w:t>银行/华夏理财</w:t>
            </w:r>
            <w:r>
              <w:rPr>
                <w:rFonts w:ascii="仿宋" w:hAnsi="仿宋" w:eastAsia="仿宋"/>
                <w:bCs/>
                <w:szCs w:val="21"/>
              </w:rPr>
              <w:t>购买的投资者</w:t>
            </w:r>
            <w:r>
              <w:rPr>
                <w:rFonts w:hint="eastAsia" w:ascii="仿宋" w:hAnsi="仿宋" w:eastAsia="仿宋"/>
                <w:bCs/>
                <w:szCs w:val="21"/>
              </w:rPr>
              <w:t>预约赎回申请，视</w:t>
            </w:r>
            <w:r>
              <w:rPr>
                <w:rFonts w:ascii="仿宋" w:hAnsi="仿宋" w:eastAsia="仿宋"/>
                <w:bCs/>
                <w:szCs w:val="21"/>
              </w:rPr>
              <w:t>同在</w:t>
            </w:r>
            <w:r>
              <w:rPr>
                <w:rFonts w:hint="eastAsia" w:ascii="仿宋" w:hAnsi="仿宋" w:eastAsia="仿宋"/>
                <w:bCs/>
                <w:szCs w:val="21"/>
              </w:rPr>
              <w:t>第一个可赎回的开放日开放时间内提交的赎回申请。</w:t>
            </w:r>
          </w:p>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代销机构如另有规定，从其规定。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申购确认</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Cs/>
                <w:szCs w:val="21"/>
              </w:rPr>
            </w:pPr>
            <w:r>
              <w:rPr>
                <w:rFonts w:ascii="仿宋" w:hAnsi="仿宋" w:eastAsia="仿宋"/>
                <w:bCs/>
                <w:szCs w:val="21"/>
              </w:rPr>
              <w:t>T日</w:t>
            </w:r>
            <w:r>
              <w:rPr>
                <w:rFonts w:hint="eastAsia" w:ascii="仿宋" w:hAnsi="仿宋" w:eastAsia="仿宋"/>
                <w:bCs/>
                <w:szCs w:val="21"/>
              </w:rPr>
              <w:t>申购</w:t>
            </w:r>
            <w:r>
              <w:rPr>
                <w:rFonts w:ascii="仿宋" w:hAnsi="仿宋" w:eastAsia="仿宋"/>
                <w:bCs/>
                <w:szCs w:val="21"/>
              </w:rPr>
              <w:t>，</w:t>
            </w:r>
            <w:r>
              <w:rPr>
                <w:rFonts w:hint="eastAsia" w:ascii="仿宋" w:hAnsi="仿宋" w:eastAsia="仿宋"/>
                <w:bCs/>
                <w:szCs w:val="21"/>
              </w:rPr>
              <w:t>T+</w:t>
            </w:r>
            <w:r>
              <w:rPr>
                <w:rFonts w:ascii="仿宋" w:hAnsi="仿宋" w:eastAsia="仿宋"/>
                <w:bCs/>
                <w:szCs w:val="21"/>
              </w:rPr>
              <w:t>1日确认。T日为开放日。</w:t>
            </w:r>
            <w:r>
              <w:rPr>
                <w:rFonts w:hint="eastAsia" w:ascii="仿宋" w:hAnsi="仿宋" w:eastAsia="仿宋"/>
                <w:bCs/>
                <w:szCs w:val="21"/>
              </w:rPr>
              <w:t>通过华夏银行/华夏理财购买的，T日扣款；通过其他代销机构购买的，扣款规则以代销机构规定为准。</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以申购申请日的日终份额净值确认，按照“金额申购”的原则计算申购份额。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赎回确认</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Cs/>
                <w:szCs w:val="21"/>
              </w:rPr>
            </w:pPr>
            <w:r>
              <w:rPr>
                <w:rFonts w:ascii="仿宋" w:hAnsi="仿宋" w:eastAsia="仿宋"/>
                <w:bCs/>
                <w:szCs w:val="21"/>
              </w:rPr>
              <w:t>T日赎回，</w:t>
            </w:r>
            <w:r>
              <w:rPr>
                <w:rFonts w:hint="eastAsia" w:ascii="仿宋" w:hAnsi="仿宋" w:eastAsia="仿宋"/>
                <w:bCs/>
                <w:szCs w:val="21"/>
              </w:rPr>
              <w:t>T+</w:t>
            </w:r>
            <w:r>
              <w:rPr>
                <w:rFonts w:ascii="仿宋" w:hAnsi="仿宋" w:eastAsia="仿宋"/>
                <w:bCs/>
                <w:szCs w:val="21"/>
              </w:rPr>
              <w:t>1日确认</w:t>
            </w:r>
            <w:r>
              <w:rPr>
                <w:rFonts w:hint="eastAsia" w:ascii="仿宋" w:hAnsi="仿宋" w:eastAsia="仿宋"/>
                <w:bCs/>
                <w:szCs w:val="21"/>
              </w:rPr>
              <w:t>。</w:t>
            </w:r>
          </w:p>
          <w:p>
            <w:pPr>
              <w:adjustRightInd w:val="0"/>
              <w:snapToGrid w:val="0"/>
              <w:spacing w:line="240" w:lineRule="atLeast"/>
              <w:ind w:right="-44" w:firstLine="420" w:firstLineChars="200"/>
              <w:jc w:val="left"/>
              <w:rPr>
                <w:rFonts w:ascii="仿宋" w:hAnsi="仿宋" w:eastAsia="仿宋"/>
                <w:bCs/>
                <w:color w:val="FF6600"/>
                <w:szCs w:val="21"/>
              </w:rPr>
            </w:pPr>
            <w:r>
              <w:rPr>
                <w:rFonts w:hint="eastAsia" w:ascii="仿宋" w:hAnsi="仿宋" w:eastAsia="仿宋"/>
                <w:bCs/>
                <w:szCs w:val="21"/>
              </w:rPr>
              <w:t>通过华夏理财赎回的，投资者</w:t>
            </w:r>
            <w:r>
              <w:rPr>
                <w:rFonts w:ascii="仿宋" w:hAnsi="仿宋" w:eastAsia="仿宋"/>
                <w:bCs/>
                <w:szCs w:val="21"/>
              </w:rPr>
              <w:t>赎回资金</w:t>
            </w:r>
            <w:r>
              <w:rPr>
                <w:rFonts w:hint="eastAsia" w:ascii="仿宋" w:hAnsi="仿宋" w:eastAsia="仿宋"/>
                <w:bCs/>
                <w:szCs w:val="21"/>
              </w:rPr>
              <w:t>于T+</w:t>
            </w:r>
            <w:r>
              <w:rPr>
                <w:rFonts w:ascii="仿宋" w:hAnsi="仿宋" w:eastAsia="仿宋"/>
                <w:bCs/>
                <w:szCs w:val="21"/>
              </w:rPr>
              <w:t>2</w:t>
            </w:r>
            <w:r>
              <w:rPr>
                <w:rFonts w:hint="eastAsia" w:ascii="仿宋" w:hAnsi="仿宋" w:eastAsia="仿宋"/>
                <w:bCs/>
                <w:szCs w:val="21"/>
              </w:rPr>
              <w:t>日（内）</w:t>
            </w:r>
            <w:r>
              <w:rPr>
                <w:rFonts w:ascii="仿宋" w:hAnsi="仿宋" w:eastAsia="仿宋"/>
                <w:bCs/>
                <w:szCs w:val="21"/>
              </w:rPr>
              <w:t>到账</w:t>
            </w:r>
            <w:r>
              <w:rPr>
                <w:rFonts w:hint="eastAsia" w:ascii="仿宋" w:hAnsi="仿宋" w:eastAsia="仿宋"/>
                <w:bCs/>
                <w:szCs w:val="21"/>
              </w:rPr>
              <w:t>；通过华夏银行赎回的，投资者</w:t>
            </w:r>
            <w:r>
              <w:rPr>
                <w:rFonts w:ascii="仿宋" w:hAnsi="仿宋" w:eastAsia="仿宋"/>
                <w:bCs/>
                <w:szCs w:val="21"/>
              </w:rPr>
              <w:t>赎回资金</w:t>
            </w:r>
            <w:r>
              <w:rPr>
                <w:rFonts w:hint="eastAsia" w:ascii="仿宋" w:hAnsi="仿宋" w:eastAsia="仿宋"/>
                <w:bCs/>
                <w:szCs w:val="21"/>
              </w:rPr>
              <w:t>于T+</w:t>
            </w:r>
            <w:r>
              <w:rPr>
                <w:rFonts w:ascii="仿宋" w:hAnsi="仿宋" w:eastAsia="仿宋"/>
                <w:bCs/>
                <w:szCs w:val="21"/>
              </w:rPr>
              <w:t>2</w:t>
            </w:r>
            <w:r>
              <w:rPr>
                <w:rFonts w:hint="eastAsia" w:ascii="仿宋" w:hAnsi="仿宋" w:eastAsia="仿宋"/>
                <w:bCs/>
                <w:szCs w:val="21"/>
              </w:rPr>
              <w:t>日（内）</w:t>
            </w:r>
            <w:r>
              <w:rPr>
                <w:rFonts w:ascii="仿宋" w:hAnsi="仿宋" w:eastAsia="仿宋"/>
                <w:bCs/>
                <w:szCs w:val="21"/>
              </w:rPr>
              <w:t>到账</w:t>
            </w:r>
            <w:r>
              <w:rPr>
                <w:rFonts w:hint="eastAsia" w:ascii="仿宋" w:hAnsi="仿宋" w:eastAsia="仿宋"/>
                <w:bCs/>
                <w:szCs w:val="21"/>
              </w:rPr>
              <w:t>；通过其他代销机构赎回的，投资者赎回资金的具体到账账户、到账日及到账时间以代销机构划付规定为准</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赎回规定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
                <w:szCs w:val="21"/>
              </w:rPr>
            </w:pPr>
            <w:r>
              <w:rPr>
                <w:rFonts w:ascii="仿宋" w:hAnsi="仿宋" w:eastAsia="仿宋"/>
                <w:bCs/>
                <w:szCs w:val="21"/>
              </w:rPr>
              <w:t>本理财产品采取份额赎回的方式。投资者可选择全额或部分赎回，部分赎回后投资者持有本理财产品的</w:t>
            </w:r>
            <w:r>
              <w:rPr>
                <w:rFonts w:hint="eastAsia" w:ascii="仿宋" w:hAnsi="仿宋" w:eastAsia="仿宋"/>
                <w:bCs/>
                <w:szCs w:val="21"/>
              </w:rPr>
              <w:t>日末余额</w:t>
            </w:r>
            <w:r>
              <w:rPr>
                <w:rFonts w:ascii="仿宋" w:hAnsi="仿宋" w:eastAsia="仿宋"/>
                <w:bCs/>
                <w:szCs w:val="21"/>
              </w:rPr>
              <w:t>低于理财账户最低保留</w:t>
            </w:r>
            <w:r>
              <w:rPr>
                <w:rFonts w:hint="eastAsia" w:ascii="仿宋" w:hAnsi="仿宋" w:eastAsia="仿宋"/>
                <w:bCs/>
                <w:szCs w:val="21"/>
              </w:rPr>
              <w:t>限</w:t>
            </w:r>
            <w:r>
              <w:rPr>
                <w:rFonts w:ascii="仿宋" w:hAnsi="仿宋" w:eastAsia="仿宋"/>
                <w:bCs/>
                <w:szCs w:val="21"/>
              </w:rPr>
              <w:t>额</w:t>
            </w:r>
            <w:r>
              <w:rPr>
                <w:rFonts w:hint="eastAsia" w:ascii="仿宋" w:hAnsi="仿宋" w:eastAsia="仿宋"/>
                <w:bCs/>
                <w:szCs w:val="21"/>
              </w:rPr>
              <w:t>时</w:t>
            </w:r>
            <w:r>
              <w:rPr>
                <w:rFonts w:ascii="仿宋" w:hAnsi="仿宋" w:eastAsia="仿宋"/>
                <w:bCs/>
                <w:szCs w:val="21"/>
              </w:rPr>
              <w:t>，</w:t>
            </w:r>
            <w:r>
              <w:rPr>
                <w:rFonts w:hint="eastAsia" w:ascii="仿宋" w:hAnsi="仿宋" w:eastAsia="仿宋"/>
                <w:b/>
                <w:szCs w:val="21"/>
              </w:rPr>
              <w:t>华夏理财将在赎回确认日末对投资者的剩余份额发起强制赎回</w:t>
            </w:r>
            <w:r>
              <w:rPr>
                <w:rFonts w:ascii="仿宋" w:hAnsi="仿宋" w:eastAsia="仿宋"/>
                <w:b/>
                <w:szCs w:val="21"/>
              </w:rPr>
              <w:t>。</w:t>
            </w:r>
          </w:p>
          <w:p>
            <w:pPr>
              <w:adjustRightInd w:val="0"/>
              <w:snapToGrid w:val="0"/>
              <w:spacing w:line="240" w:lineRule="atLeast"/>
              <w:ind w:right="-44" w:firstLine="422" w:firstLineChars="200"/>
              <w:jc w:val="left"/>
              <w:rPr>
                <w:rFonts w:ascii="仿宋" w:hAnsi="仿宋" w:eastAsia="仿宋"/>
                <w:b/>
                <w:szCs w:val="21"/>
              </w:rPr>
            </w:pPr>
            <w:r>
              <w:rPr>
                <w:rFonts w:hint="eastAsia" w:ascii="仿宋" w:hAnsi="仿宋" w:eastAsia="仿宋"/>
                <w:b/>
                <w:szCs w:val="21"/>
              </w:rPr>
              <w:t>若客户在同一开放日提交申购和赎回原持有份额的交易申请，经申购和赎回交易确认后的日末余额低于理财账户最低保留限额时，华夏理财将在赎回确认日末对投资者的剩余份额发起强制赎回。</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代销机构如另有规定，从其规定。</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本产品赎回遵循“先进先出”原则。</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240" w:lineRule="atLeast"/>
              <w:jc w:val="center"/>
              <w:rPr>
                <w:rFonts w:ascii="仿宋" w:hAnsi="仿宋" w:eastAsia="仿宋"/>
                <w:bCs/>
                <w:szCs w:val="21"/>
              </w:rPr>
            </w:pPr>
            <w:r>
              <w:rPr>
                <w:rFonts w:hint="eastAsia" w:ascii="仿宋" w:hAnsi="仿宋" w:eastAsia="仿宋"/>
                <w:bCs/>
                <w:szCs w:val="21"/>
              </w:rPr>
              <w:t>赎回金额的计算</w:t>
            </w:r>
          </w:p>
        </w:tc>
        <w:tc>
          <w:tcPr>
            <w:tcW w:w="7404" w:type="dxa"/>
            <w:tcBorders>
              <w:top w:val="single" w:color="auto" w:sz="4" w:space="0"/>
              <w:left w:val="single" w:color="auto" w:sz="4" w:space="0"/>
              <w:bottom w:val="single" w:color="auto" w:sz="4" w:space="0"/>
              <w:right w:val="single" w:color="auto" w:sz="4" w:space="0"/>
            </w:tcBorders>
            <w:vAlign w:val="center"/>
          </w:tcPr>
          <w:p>
            <w:pPr>
              <w:keepNext/>
              <w:spacing w:line="240" w:lineRule="atLeast"/>
              <w:ind w:firstLine="420" w:firstLineChars="200"/>
              <w:rPr>
                <w:rFonts w:ascii="仿宋" w:hAnsi="仿宋" w:eastAsia="仿宋"/>
                <w:bCs/>
                <w:szCs w:val="21"/>
                <w:u w:val="single"/>
              </w:rPr>
            </w:pPr>
            <w:r>
              <w:rPr>
                <w:rFonts w:ascii="仿宋" w:hAnsi="仿宋" w:eastAsia="仿宋"/>
                <w:bCs/>
                <w:szCs w:val="21"/>
              </w:rPr>
              <w:t>赎回金额＝赎回份额×赎回</w:t>
            </w:r>
            <w:r>
              <w:rPr>
                <w:rFonts w:hint="eastAsia" w:ascii="仿宋" w:hAnsi="仿宋" w:eastAsia="仿宋"/>
                <w:bCs/>
                <w:szCs w:val="21"/>
              </w:rPr>
              <w:t xml:space="preserve">申请日的产品份额净值，保留到小数点后 2 </w:t>
            </w:r>
            <w:r>
              <w:rPr>
                <w:rFonts w:hint="eastAsia" w:ascii="仿宋" w:hAnsi="仿宋" w:eastAsia="仿宋"/>
                <w:bCs/>
                <w:szCs w:val="21"/>
                <w:u w:val="single"/>
              </w:rPr>
              <w:t xml:space="preserve">   </w:t>
            </w:r>
            <w:r>
              <w:rPr>
                <w:rFonts w:hint="eastAsia" w:ascii="仿宋" w:hAnsi="仿宋" w:eastAsia="仿宋"/>
                <w:bCs/>
                <w:szCs w:val="21"/>
              </w:rPr>
              <w:t>位，小数点后第</w:t>
            </w:r>
            <w:r>
              <w:rPr>
                <w:rFonts w:ascii="仿宋" w:hAnsi="仿宋" w:eastAsia="仿宋"/>
                <w:bCs/>
                <w:szCs w:val="21"/>
              </w:rPr>
              <w:t xml:space="preserve"> 3 </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到期/终止的理财本金</w:t>
            </w:r>
            <w:r>
              <w:rPr>
                <w:rFonts w:ascii="仿宋" w:hAnsi="仿宋" w:eastAsia="仿宋"/>
                <w:bCs/>
                <w:szCs w:val="21"/>
              </w:rPr>
              <w:t>及</w:t>
            </w:r>
            <w:r>
              <w:rPr>
                <w:rFonts w:hint="eastAsia" w:ascii="仿宋" w:hAnsi="仿宋" w:eastAsia="仿宋"/>
                <w:bCs/>
                <w:szCs w:val="21"/>
              </w:rPr>
              <w:t>收益</w:t>
            </w:r>
          </w:p>
          <w:p>
            <w:pPr>
              <w:adjustRightInd w:val="0"/>
              <w:snapToGrid w:val="0"/>
              <w:spacing w:line="240" w:lineRule="atLeast"/>
              <w:jc w:val="center"/>
              <w:rPr>
                <w:rFonts w:ascii="仿宋" w:hAnsi="仿宋" w:eastAsia="仿宋"/>
                <w:bCs/>
                <w:szCs w:val="21"/>
              </w:rPr>
            </w:pPr>
            <w:r>
              <w:rPr>
                <w:rFonts w:ascii="仿宋" w:hAnsi="仿宋" w:eastAsia="仿宋"/>
                <w:bCs/>
                <w:szCs w:val="21"/>
              </w:rPr>
              <w:t>兑付</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华夏理财将于到期/终止</w:t>
            </w:r>
            <w:r>
              <w:rPr>
                <w:rFonts w:ascii="仿宋" w:hAnsi="仿宋" w:eastAsia="仿宋"/>
                <w:bCs/>
                <w:szCs w:val="21"/>
              </w:rPr>
              <w:t>日</w:t>
            </w:r>
            <w:r>
              <w:rPr>
                <w:rFonts w:hint="eastAsia" w:ascii="仿宋" w:hAnsi="仿宋" w:eastAsia="仿宋"/>
                <w:bCs/>
                <w:szCs w:val="21"/>
              </w:rPr>
              <w:t>后</w:t>
            </w:r>
            <w:r>
              <w:rPr>
                <w:rFonts w:ascii="仿宋" w:hAnsi="仿宋" w:eastAsia="仿宋"/>
                <w:bCs/>
                <w:szCs w:val="21"/>
              </w:rPr>
              <w:t xml:space="preserve"> 2 </w:t>
            </w:r>
            <w:r>
              <w:rPr>
                <w:rFonts w:hint="eastAsia" w:ascii="仿宋" w:hAnsi="仿宋" w:eastAsia="仿宋"/>
                <w:bCs/>
                <w:szCs w:val="21"/>
              </w:rPr>
              <w:t>个工作</w:t>
            </w:r>
            <w:r>
              <w:rPr>
                <w:rFonts w:ascii="仿宋" w:hAnsi="仿宋" w:eastAsia="仿宋"/>
                <w:bCs/>
                <w:szCs w:val="21"/>
              </w:rPr>
              <w:t>日</w:t>
            </w:r>
            <w:r>
              <w:rPr>
                <w:rFonts w:hint="eastAsia" w:ascii="仿宋" w:hAnsi="仿宋" w:eastAsia="仿宋"/>
                <w:bCs/>
                <w:szCs w:val="21"/>
              </w:rPr>
              <w:t>（内）</w:t>
            </w:r>
            <w:r>
              <w:rPr>
                <w:rFonts w:ascii="仿宋" w:hAnsi="仿宋" w:eastAsia="仿宋"/>
                <w:bCs/>
                <w:szCs w:val="21"/>
              </w:rPr>
              <w:t>，</w:t>
            </w:r>
            <w:r>
              <w:rPr>
                <w:rFonts w:hint="eastAsia" w:ascii="仿宋" w:hAnsi="仿宋" w:eastAsia="仿宋"/>
                <w:bCs/>
                <w:szCs w:val="21"/>
              </w:rPr>
              <w:t>根据实际投资结果向华夏理财客户及代销机构一次性划付理财本金及收益（如有），代销机构客户的理财本金及收益（如有）的具体到账账户、到账日及到账时间以代销机构划付规定为准。</w:t>
            </w:r>
          </w:p>
          <w:p>
            <w:pPr>
              <w:spacing w:line="240" w:lineRule="atLeast"/>
              <w:ind w:firstLine="420" w:firstLineChars="200"/>
              <w:rPr>
                <w:rFonts w:ascii="仿宋" w:hAnsi="仿宋" w:eastAsia="仿宋"/>
                <w:bCs/>
                <w:szCs w:val="21"/>
              </w:rPr>
            </w:pPr>
            <w:r>
              <w:rPr>
                <w:rFonts w:hint="eastAsia" w:ascii="仿宋" w:hAnsi="仿宋" w:eastAsia="仿宋"/>
                <w:bCs/>
                <w:szCs w:val="21"/>
              </w:rPr>
              <w:t>客户到期/终止本金及收益金额=∑（每笔份额*到期/终止日的产品份额净值），每笔金额计算保留到小数点后</w:t>
            </w:r>
            <w:r>
              <w:rPr>
                <w:rFonts w:ascii="仿宋" w:hAnsi="仿宋" w:eastAsia="仿宋"/>
                <w:bCs/>
                <w:szCs w:val="21"/>
              </w:rPr>
              <w:t xml:space="preserve"> 2 </w:t>
            </w:r>
            <w:r>
              <w:rPr>
                <w:rFonts w:hint="eastAsia" w:ascii="仿宋" w:hAnsi="仿宋" w:eastAsia="仿宋"/>
                <w:bCs/>
                <w:szCs w:val="21"/>
              </w:rPr>
              <w:t>位，小数点后第</w:t>
            </w:r>
            <w:r>
              <w:rPr>
                <w:rFonts w:ascii="仿宋" w:hAnsi="仿宋" w:eastAsia="仿宋"/>
                <w:bCs/>
                <w:szCs w:val="21"/>
              </w:rPr>
              <w:t xml:space="preserve"> 3 </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认购/申购/赎回申请拒绝</w:t>
            </w:r>
          </w:p>
        </w:tc>
        <w:tc>
          <w:tcPr>
            <w:tcW w:w="7404" w:type="dxa"/>
            <w:tcBorders>
              <w:top w:val="single" w:color="auto" w:sz="4" w:space="0"/>
              <w:left w:val="single" w:color="auto" w:sz="4" w:space="0"/>
              <w:bottom w:val="single" w:color="auto" w:sz="4" w:space="0"/>
              <w:right w:val="single" w:color="auto" w:sz="4" w:space="0"/>
            </w:tcBorders>
            <w:vAlign w:val="center"/>
          </w:tcPr>
          <w:p>
            <w:pPr>
              <w:tabs>
                <w:tab w:val="left" w:pos="720"/>
              </w:tabs>
              <w:adjustRightInd w:val="0"/>
              <w:snapToGrid w:val="0"/>
              <w:spacing w:line="300" w:lineRule="exact"/>
              <w:ind w:firstLine="420" w:firstLineChars="200"/>
              <w:rPr>
                <w:rFonts w:ascii="仿宋" w:hAnsi="仿宋" w:eastAsia="仿宋"/>
                <w:b/>
                <w:bCs/>
                <w:szCs w:val="21"/>
              </w:rPr>
            </w:pPr>
            <w:r>
              <w:rPr>
                <w:rFonts w:hint="eastAsia" w:ascii="仿宋" w:hAnsi="仿宋" w:eastAsia="仿宋"/>
                <w:bCs/>
                <w:szCs w:val="21"/>
              </w:rPr>
              <w:t>华夏理财根据市场情况或理财产品实际投资运作的情况确定理财产品规模上限（代销机构可控制自身销售额度），若本理财产品余额超过产品规模上限，</w:t>
            </w:r>
            <w:r>
              <w:rPr>
                <w:rFonts w:hint="eastAsia" w:ascii="仿宋" w:hAnsi="仿宋" w:eastAsia="仿宋"/>
                <w:b/>
                <w:bCs/>
                <w:szCs w:val="21"/>
              </w:rPr>
              <w:t>华夏理财有权在成立日/申购确认日采取比例确认等方式对购买申请给予部分确认。</w:t>
            </w:r>
          </w:p>
          <w:p>
            <w:pPr>
              <w:tabs>
                <w:tab w:val="left" w:pos="720"/>
              </w:tabs>
              <w:adjustRightInd w:val="0"/>
              <w:snapToGrid w:val="0"/>
              <w:spacing w:line="300" w:lineRule="exact"/>
              <w:ind w:firstLine="422" w:firstLineChars="200"/>
              <w:rPr>
                <w:rFonts w:ascii="仿宋" w:hAnsi="仿宋" w:eastAsia="仿宋"/>
                <w:bCs/>
                <w:szCs w:val="21"/>
              </w:rPr>
            </w:pPr>
            <w:r>
              <w:rPr>
                <w:rFonts w:hint="eastAsia" w:ascii="仿宋" w:hAnsi="仿宋" w:eastAsia="仿宋"/>
                <w:b/>
                <w:szCs w:val="21"/>
              </w:rPr>
              <w:t>华夏理财认为接受大额认购/申购申请可能会影响或损害理财产品投资者权益时，有权拒绝或暂停该认购/申购申请。</w:t>
            </w:r>
          </w:p>
          <w:p>
            <w:pPr>
              <w:spacing w:line="240" w:lineRule="atLeast"/>
              <w:rPr>
                <w:rFonts w:ascii="仿宋" w:hAnsi="仿宋" w:eastAsia="仿宋"/>
                <w:bCs/>
                <w:szCs w:val="21"/>
              </w:rPr>
            </w:pPr>
            <w:r>
              <w:rPr>
                <w:rFonts w:hint="eastAsia" w:ascii="仿宋" w:hAnsi="仿宋" w:eastAsia="仿宋"/>
                <w:bCs/>
                <w:szCs w:val="21"/>
              </w:rPr>
              <w:t xml:space="preserve">    若因超过产品规模上限或</w:t>
            </w:r>
            <w:r>
              <w:rPr>
                <w:rFonts w:ascii="仿宋" w:hAnsi="仿宋" w:eastAsia="仿宋"/>
                <w:bCs/>
                <w:szCs w:val="21"/>
              </w:rPr>
              <w:t>发生巨额赎回</w:t>
            </w:r>
            <w:r>
              <w:rPr>
                <w:rFonts w:hint="eastAsia" w:ascii="仿宋" w:hAnsi="仿宋" w:eastAsia="仿宋"/>
                <w:bCs/>
                <w:szCs w:val="21"/>
              </w:rPr>
              <w:t>,华夏理财拒绝、延期办理或部分接受客户的认购/申购/赎回</w:t>
            </w:r>
            <w:r>
              <w:rPr>
                <w:rFonts w:ascii="仿宋" w:hAnsi="仿宋" w:eastAsia="仿宋"/>
                <w:bCs/>
                <w:szCs w:val="21"/>
              </w:rPr>
              <w:t>申请时，</w:t>
            </w:r>
            <w:r>
              <w:rPr>
                <w:rFonts w:hint="eastAsia" w:ascii="仿宋" w:hAnsi="仿宋" w:eastAsia="仿宋"/>
                <w:bCs/>
                <w:szCs w:val="21"/>
              </w:rPr>
              <w:t>华夏理财于</w:t>
            </w:r>
            <w:r>
              <w:rPr>
                <w:rFonts w:ascii="仿宋" w:hAnsi="仿宋" w:eastAsia="仿宋"/>
                <w:bCs/>
                <w:szCs w:val="21"/>
              </w:rPr>
              <w:t>3</w:t>
            </w:r>
            <w:r>
              <w:rPr>
                <w:rFonts w:hint="eastAsia" w:ascii="仿宋" w:hAnsi="仿宋" w:eastAsia="仿宋"/>
                <w:bCs/>
                <w:szCs w:val="21"/>
              </w:rPr>
              <w:t>个</w:t>
            </w:r>
            <w:r>
              <w:rPr>
                <w:rFonts w:ascii="仿宋" w:hAnsi="仿宋" w:eastAsia="仿宋"/>
                <w:bCs/>
                <w:szCs w:val="21"/>
              </w:rPr>
              <w:t>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本说明书约定的信息披露渠道</w:t>
            </w:r>
            <w:r>
              <w:rPr>
                <w:rFonts w:ascii="仿宋" w:hAnsi="仿宋" w:eastAsia="仿宋"/>
                <w:bCs/>
                <w:szCs w:val="21"/>
              </w:rPr>
              <w:t>披露</w:t>
            </w:r>
            <w:r>
              <w:rPr>
                <w:rFonts w:hint="eastAsia" w:ascii="仿宋" w:hAnsi="仿宋" w:eastAsia="仿宋"/>
                <w:bCs/>
                <w:szCs w:val="21"/>
              </w:rPr>
              <w:t>相应</w:t>
            </w:r>
            <w:r>
              <w:rPr>
                <w:rFonts w:ascii="仿宋" w:hAnsi="仿宋" w:eastAsia="仿宋"/>
                <w:bCs/>
                <w:szCs w:val="21"/>
              </w:rPr>
              <w:t>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巨额赎回</w:t>
            </w:r>
          </w:p>
        </w:tc>
        <w:tc>
          <w:tcPr>
            <w:tcW w:w="7404" w:type="dxa"/>
            <w:tcBorders>
              <w:top w:val="single" w:color="auto" w:sz="4" w:space="0"/>
              <w:left w:val="single" w:color="auto" w:sz="4" w:space="0"/>
              <w:bottom w:val="single" w:color="auto" w:sz="4" w:space="0"/>
              <w:right w:val="single" w:color="auto" w:sz="4" w:space="0"/>
            </w:tcBorders>
            <w:vAlign w:val="center"/>
          </w:tcPr>
          <w:p>
            <w:pPr>
              <w:tabs>
                <w:tab w:val="left" w:pos="720"/>
              </w:tabs>
              <w:autoSpaceDE w:val="0"/>
              <w:autoSpaceDN w:val="0"/>
              <w:adjustRightInd w:val="0"/>
              <w:snapToGrid w:val="0"/>
              <w:spacing w:line="240" w:lineRule="atLeast"/>
              <w:ind w:right="18" w:firstLine="420" w:firstLineChars="200"/>
              <w:rPr>
                <w:rFonts w:ascii="仿宋" w:hAnsi="仿宋" w:eastAsia="仿宋"/>
                <w:bCs/>
                <w:szCs w:val="21"/>
              </w:rPr>
            </w:pPr>
            <w:r>
              <w:rPr>
                <w:rFonts w:ascii="仿宋" w:hAnsi="仿宋" w:eastAsia="仿宋"/>
                <w:bCs/>
                <w:szCs w:val="21"/>
              </w:rPr>
              <w:t>单个开放日中，本</w:t>
            </w:r>
            <w:r>
              <w:rPr>
                <w:rFonts w:hint="eastAsia" w:ascii="仿宋" w:hAnsi="仿宋" w:eastAsia="仿宋"/>
                <w:bCs/>
                <w:szCs w:val="21"/>
              </w:rPr>
              <w:t>理财</w:t>
            </w:r>
            <w:r>
              <w:rPr>
                <w:rFonts w:ascii="仿宋" w:hAnsi="仿宋" w:eastAsia="仿宋"/>
                <w:bCs/>
                <w:szCs w:val="21"/>
              </w:rPr>
              <w:t>产品的净赎回申请</w:t>
            </w:r>
            <w:r>
              <w:rPr>
                <w:rFonts w:hint="eastAsia" w:ascii="仿宋" w:hAnsi="仿宋" w:eastAsia="仿宋"/>
                <w:bCs/>
                <w:szCs w:val="21"/>
              </w:rPr>
              <w:t>份额</w:t>
            </w:r>
            <w:r>
              <w:rPr>
                <w:rFonts w:ascii="仿宋" w:hAnsi="仿宋" w:eastAsia="仿宋"/>
                <w:bCs/>
                <w:szCs w:val="21"/>
              </w:rPr>
              <w:t>（赎回申请总份额扣除申购</w:t>
            </w:r>
            <w:r>
              <w:rPr>
                <w:rFonts w:hint="eastAsia" w:ascii="仿宋" w:hAnsi="仿宋" w:eastAsia="仿宋"/>
                <w:bCs/>
                <w:szCs w:val="21"/>
              </w:rPr>
              <w:t>申请</w:t>
            </w:r>
            <w:r>
              <w:rPr>
                <w:rFonts w:ascii="仿宋" w:hAnsi="仿宋" w:eastAsia="仿宋"/>
                <w:bCs/>
                <w:szCs w:val="21"/>
              </w:rPr>
              <w:t>总份额后的余额）超过上一日产品总份额的</w:t>
            </w:r>
            <w:r>
              <w:rPr>
                <w:rFonts w:ascii="仿宋" w:hAnsi="仿宋" w:eastAsia="仿宋"/>
                <w:bCs/>
                <w:szCs w:val="21"/>
                <w:u w:val="single"/>
              </w:rPr>
              <w:t xml:space="preserve"> 10</w:t>
            </w:r>
            <w:r>
              <w:rPr>
                <w:rFonts w:ascii="仿宋" w:hAnsi="仿宋" w:eastAsia="仿宋"/>
                <w:bCs/>
                <w:szCs w:val="21"/>
              </w:rPr>
              <w:t>%为巨额赎回</w:t>
            </w:r>
            <w:r>
              <w:rPr>
                <w:rFonts w:hint="eastAsia" w:ascii="仿宋" w:hAnsi="仿宋" w:eastAsia="仿宋"/>
                <w:bCs/>
                <w:szCs w:val="21"/>
              </w:rPr>
              <w:t>。</w:t>
            </w:r>
          </w:p>
          <w:p>
            <w:pPr>
              <w:tabs>
                <w:tab w:val="left" w:pos="720"/>
              </w:tabs>
              <w:autoSpaceDE w:val="0"/>
              <w:autoSpaceDN w:val="0"/>
              <w:adjustRightInd w:val="0"/>
              <w:snapToGrid w:val="0"/>
              <w:spacing w:line="240" w:lineRule="atLeast"/>
              <w:ind w:right="18" w:firstLine="422" w:firstLineChars="200"/>
              <w:rPr>
                <w:rFonts w:ascii="仿宋" w:hAnsi="仿宋" w:eastAsia="仿宋"/>
                <w:b/>
                <w:szCs w:val="21"/>
              </w:rPr>
            </w:pPr>
            <w:r>
              <w:rPr>
                <w:rFonts w:hint="eastAsia" w:ascii="仿宋" w:hAnsi="仿宋" w:eastAsia="仿宋"/>
                <w:b/>
                <w:szCs w:val="21"/>
              </w:rPr>
              <w:t>如发生巨额赎回，</w:t>
            </w:r>
            <w:r>
              <w:rPr>
                <w:rFonts w:ascii="仿宋" w:hAnsi="仿宋" w:eastAsia="仿宋"/>
                <w:b/>
                <w:szCs w:val="21"/>
              </w:rPr>
              <w:t>管理人</w:t>
            </w:r>
            <w:r>
              <w:rPr>
                <w:rFonts w:hint="eastAsia" w:ascii="仿宋" w:hAnsi="仿宋" w:eastAsia="仿宋"/>
                <w:b/>
                <w:szCs w:val="21"/>
              </w:rPr>
              <w:t>当日办理的赎回份额不低于前一日终理财产品总份额的10%。</w:t>
            </w:r>
          </w:p>
          <w:p>
            <w:pPr>
              <w:tabs>
                <w:tab w:val="left" w:pos="720"/>
              </w:tabs>
              <w:autoSpaceDE w:val="0"/>
              <w:autoSpaceDN w:val="0"/>
              <w:adjustRightInd w:val="0"/>
              <w:snapToGrid w:val="0"/>
              <w:spacing w:line="240" w:lineRule="atLeast"/>
              <w:ind w:right="18" w:firstLine="422" w:firstLineChars="200"/>
              <w:rPr>
                <w:rFonts w:ascii="仿宋" w:hAnsi="仿宋" w:eastAsia="仿宋"/>
                <w:bCs/>
                <w:szCs w:val="21"/>
              </w:rPr>
            </w:pPr>
            <w:r>
              <w:rPr>
                <w:rFonts w:ascii="仿宋" w:hAnsi="仿宋" w:eastAsia="仿宋"/>
                <w:b/>
                <w:szCs w:val="21"/>
              </w:rPr>
              <w:t>管理人</w:t>
            </w:r>
            <w:r>
              <w:rPr>
                <w:rFonts w:hint="eastAsia" w:ascii="仿宋" w:hAnsi="仿宋" w:eastAsia="仿宋"/>
                <w:b/>
                <w:bCs/>
                <w:szCs w:val="21"/>
              </w:rPr>
              <w:t>有权</w:t>
            </w:r>
            <w:r>
              <w:rPr>
                <w:rFonts w:hint="eastAsia" w:ascii="仿宋" w:hAnsi="仿宋" w:eastAsia="仿宋"/>
                <w:b/>
                <w:szCs w:val="21"/>
              </w:rPr>
              <w:t>对其余的赎回申请</w:t>
            </w:r>
            <w:r>
              <w:rPr>
                <w:rFonts w:hint="eastAsia" w:ascii="仿宋" w:hAnsi="仿宋" w:eastAsia="仿宋"/>
                <w:b/>
                <w:bCs/>
                <w:szCs w:val="21"/>
              </w:rPr>
              <w:t>采取</w:t>
            </w:r>
            <w:r>
              <w:rPr>
                <w:rFonts w:hint="eastAsia" w:ascii="仿宋" w:hAnsi="仿宋" w:eastAsia="仿宋"/>
                <w:b/>
                <w:szCs w:val="21"/>
              </w:rPr>
              <w:t>暂停接受的</w:t>
            </w:r>
            <w:r>
              <w:rPr>
                <w:rFonts w:ascii="仿宋" w:hAnsi="仿宋" w:eastAsia="仿宋"/>
                <w:b/>
                <w:szCs w:val="21"/>
              </w:rPr>
              <w:t>应对措施。</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撤销规定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1.募集期认购撤销</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投资者可撤销已提交的认购申请，具体规定如下：</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w:t>
            </w:r>
            <w:r>
              <w:rPr>
                <w:rFonts w:hint="eastAsia" w:ascii="仿宋" w:hAnsi="仿宋" w:eastAsia="仿宋"/>
                <w:bCs/>
                <w:szCs w:val="21"/>
              </w:rPr>
              <w:t>1）只能全额撤销。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（2</w:t>
            </w:r>
            <w:r>
              <w:rPr>
                <w:rFonts w:hint="eastAsia" w:ascii="仿宋" w:hAnsi="仿宋" w:eastAsia="仿宋"/>
                <w:bCs/>
                <w:szCs w:val="21"/>
              </w:rPr>
              <w:t>）通过华夏理财自有</w:t>
            </w:r>
            <w:r>
              <w:rPr>
                <w:rFonts w:ascii="仿宋" w:hAnsi="仿宋" w:eastAsia="仿宋"/>
                <w:bCs/>
                <w:szCs w:val="21"/>
              </w:rPr>
              <w:t>销售渠道</w:t>
            </w:r>
            <w:r>
              <w:rPr>
                <w:rFonts w:hint="eastAsia" w:ascii="仿宋" w:hAnsi="仿宋" w:eastAsia="仿宋"/>
                <w:bCs/>
                <w:szCs w:val="21"/>
              </w:rPr>
              <w:t>认购的，投资者撤销的本金在</w:t>
            </w:r>
            <w:r>
              <w:rPr>
                <w:rFonts w:ascii="仿宋" w:hAnsi="仿宋" w:eastAsia="仿宋"/>
                <w:bCs/>
                <w:szCs w:val="21"/>
              </w:rPr>
              <w:t>2个工作日内</w:t>
            </w:r>
            <w:r>
              <w:rPr>
                <w:rFonts w:hint="eastAsia" w:ascii="仿宋" w:hAnsi="仿宋" w:eastAsia="仿宋"/>
                <w:bCs/>
                <w:szCs w:val="21"/>
              </w:rPr>
              <w:t>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（3</w:t>
            </w:r>
            <w:r>
              <w:rPr>
                <w:rFonts w:hint="eastAsia" w:ascii="仿宋" w:hAnsi="仿宋" w:eastAsia="仿宋"/>
                <w:bCs/>
                <w:szCs w:val="21"/>
              </w:rPr>
              <w:t>）通过华夏银行认购的，投资者撤销的本金实时到账。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（4</w:t>
            </w:r>
            <w:r>
              <w:rPr>
                <w:rFonts w:hint="eastAsia" w:ascii="仿宋" w:hAnsi="仿宋" w:eastAsia="仿宋"/>
                <w:bCs/>
                <w:szCs w:val="21"/>
              </w:rPr>
              <w:t>）通过华夏理财认购的</w:t>
            </w:r>
            <w:r>
              <w:rPr>
                <w:rFonts w:ascii="仿宋" w:hAnsi="仿宋" w:eastAsia="仿宋"/>
                <w:bCs/>
                <w:szCs w:val="21"/>
              </w:rPr>
              <w:t>，</w:t>
            </w:r>
            <w:r>
              <w:rPr>
                <w:rFonts w:hint="eastAsia" w:ascii="仿宋" w:hAnsi="仿宋" w:eastAsia="仿宋"/>
              </w:rPr>
              <w:t>募集期最后一日17:30（含）之后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（5</w:t>
            </w:r>
            <w:r>
              <w:rPr>
                <w:rFonts w:hint="eastAsia" w:ascii="仿宋" w:hAnsi="仿宋" w:eastAsia="仿宋"/>
                <w:bCs/>
                <w:szCs w:val="21"/>
              </w:rPr>
              <w:t>）通过华夏银行认购的</w:t>
            </w:r>
            <w:r>
              <w:rPr>
                <w:rFonts w:ascii="仿宋" w:hAnsi="仿宋" w:eastAsia="仿宋"/>
                <w:bCs/>
                <w:szCs w:val="21"/>
              </w:rPr>
              <w:t>，</w:t>
            </w:r>
            <w:r>
              <w:rPr>
                <w:rFonts w:hint="eastAsia" w:ascii="仿宋" w:hAnsi="仿宋" w:eastAsia="仿宋"/>
              </w:rPr>
              <w:t>募集期最后一日17:30（含）之后</w:t>
            </w:r>
            <w:r>
              <w:rPr>
                <w:rFonts w:hint="eastAsia" w:ascii="仿宋" w:hAnsi="仿宋" w:eastAsia="仿宋"/>
                <w:bCs/>
                <w:szCs w:val="21"/>
              </w:rPr>
              <w:t>不能进行撤销。</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（6</w:t>
            </w:r>
            <w:r>
              <w:rPr>
                <w:rFonts w:hint="eastAsia" w:ascii="仿宋" w:hAnsi="仿宋" w:eastAsia="仿宋"/>
                <w:bCs/>
                <w:szCs w:val="21"/>
              </w:rPr>
              <w:t>）通过其他代销机构认购的，撤销规定以代销机构规定为准。</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2.开放日申购、赎回撤销</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投资者可于开放日开放时间内撤销当日已提交的申购、赎回申请，</w:t>
            </w:r>
          </w:p>
          <w:p>
            <w:pPr>
              <w:adjustRightInd w:val="0"/>
              <w:snapToGrid w:val="0"/>
              <w:spacing w:line="240" w:lineRule="atLeast"/>
              <w:rPr>
                <w:rFonts w:ascii="仿宋" w:hAnsi="仿宋" w:eastAsia="仿宋"/>
                <w:bCs/>
                <w:szCs w:val="21"/>
              </w:rPr>
            </w:pPr>
            <w:r>
              <w:rPr>
                <w:rFonts w:hint="eastAsia" w:ascii="仿宋" w:hAnsi="仿宋" w:eastAsia="仿宋"/>
                <w:bCs/>
                <w:szCs w:val="21"/>
              </w:rPr>
              <w:t>具体规定如下：</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w:t>
            </w:r>
            <w:r>
              <w:rPr>
                <w:rFonts w:hint="eastAsia" w:ascii="仿宋" w:hAnsi="仿宋" w:eastAsia="仿宋"/>
                <w:bCs/>
                <w:szCs w:val="21"/>
              </w:rPr>
              <w:t>1）只能全额撤销。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（2</w:t>
            </w:r>
            <w:r>
              <w:rPr>
                <w:rFonts w:hint="eastAsia" w:ascii="仿宋" w:hAnsi="仿宋" w:eastAsia="仿宋"/>
                <w:bCs/>
                <w:szCs w:val="21"/>
              </w:rPr>
              <w:t>）通过华夏理财自有</w:t>
            </w:r>
            <w:r>
              <w:rPr>
                <w:rFonts w:ascii="仿宋" w:hAnsi="仿宋" w:eastAsia="仿宋"/>
                <w:bCs/>
                <w:szCs w:val="21"/>
              </w:rPr>
              <w:t>销售渠道</w:t>
            </w:r>
            <w:r>
              <w:rPr>
                <w:rFonts w:hint="eastAsia" w:ascii="仿宋" w:hAnsi="仿宋" w:eastAsia="仿宋"/>
                <w:bCs/>
                <w:szCs w:val="21"/>
              </w:rPr>
              <w:t>申购的，投资者撤销申购的本金在</w:t>
            </w:r>
            <w:r>
              <w:rPr>
                <w:rFonts w:ascii="仿宋" w:hAnsi="仿宋" w:eastAsia="仿宋"/>
                <w:bCs/>
                <w:szCs w:val="21"/>
              </w:rPr>
              <w:t xml:space="preserve"> 2个工作日内</w:t>
            </w:r>
            <w:r>
              <w:rPr>
                <w:rFonts w:hint="eastAsia" w:ascii="仿宋" w:hAnsi="仿宋" w:eastAsia="仿宋"/>
                <w:bCs/>
                <w:szCs w:val="21"/>
              </w:rPr>
              <w:t>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（3</w:t>
            </w:r>
            <w:r>
              <w:rPr>
                <w:rFonts w:hint="eastAsia" w:ascii="仿宋" w:hAnsi="仿宋" w:eastAsia="仿宋"/>
                <w:bCs/>
                <w:szCs w:val="21"/>
              </w:rPr>
              <w:t>）通过华夏银行申购的，投资者撤销申购的本金实时到账。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（4</w:t>
            </w:r>
            <w:r>
              <w:rPr>
                <w:rFonts w:hint="eastAsia" w:ascii="仿宋" w:hAnsi="仿宋" w:eastAsia="仿宋"/>
                <w:bCs/>
                <w:szCs w:val="21"/>
              </w:rPr>
              <w:t>）通过华夏理财申购的</w:t>
            </w:r>
            <w:r>
              <w:rPr>
                <w:rFonts w:ascii="仿宋" w:hAnsi="仿宋" w:eastAsia="仿宋"/>
                <w:bCs/>
                <w:szCs w:val="21"/>
              </w:rPr>
              <w:t>，</w:t>
            </w:r>
            <w:r>
              <w:rPr>
                <w:rFonts w:hint="eastAsia" w:ascii="仿宋" w:hAnsi="仿宋" w:eastAsia="仿宋"/>
              </w:rPr>
              <w:t>开放日15:</w:t>
            </w:r>
            <w:r>
              <w:rPr>
                <w:rFonts w:ascii="仿宋" w:hAnsi="仿宋" w:eastAsia="仿宋"/>
              </w:rPr>
              <w:t>30</w:t>
            </w:r>
            <w:r>
              <w:rPr>
                <w:rFonts w:hint="eastAsia" w:ascii="仿宋" w:hAnsi="仿宋" w:eastAsia="仿宋"/>
              </w:rPr>
              <w:t>（含）之后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（5</w:t>
            </w:r>
            <w:r>
              <w:rPr>
                <w:rFonts w:hint="eastAsia" w:ascii="仿宋" w:hAnsi="仿宋" w:eastAsia="仿宋"/>
                <w:bCs/>
                <w:szCs w:val="21"/>
              </w:rPr>
              <w:t>）通过华夏银行申购的</w:t>
            </w:r>
            <w:r>
              <w:rPr>
                <w:rFonts w:ascii="仿宋" w:hAnsi="仿宋" w:eastAsia="仿宋"/>
                <w:bCs/>
                <w:szCs w:val="21"/>
              </w:rPr>
              <w:t>，</w:t>
            </w:r>
            <w:r>
              <w:rPr>
                <w:rFonts w:hint="eastAsia" w:ascii="仿宋" w:hAnsi="仿宋" w:eastAsia="仿宋"/>
              </w:rPr>
              <w:t>开放日15:</w:t>
            </w:r>
            <w:r>
              <w:rPr>
                <w:rFonts w:ascii="仿宋" w:hAnsi="仿宋" w:eastAsia="仿宋"/>
              </w:rPr>
              <w:t>30</w:t>
            </w:r>
            <w:r>
              <w:rPr>
                <w:rFonts w:hint="eastAsia" w:ascii="仿宋" w:hAnsi="仿宋" w:eastAsia="仿宋"/>
              </w:rPr>
              <w:t>（含）之后</w:t>
            </w:r>
            <w:r>
              <w:rPr>
                <w:rFonts w:hint="eastAsia" w:ascii="仿宋" w:hAnsi="仿宋" w:eastAsia="仿宋"/>
                <w:bCs/>
                <w:szCs w:val="21"/>
              </w:rPr>
              <w:t>不能进行撤销。</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（6</w:t>
            </w:r>
            <w:r>
              <w:rPr>
                <w:rFonts w:hint="eastAsia" w:ascii="仿宋" w:hAnsi="仿宋" w:eastAsia="仿宋"/>
                <w:bCs/>
                <w:szCs w:val="21"/>
              </w:rPr>
              <w:t>）通过其他代销机构申购的，撤销规定以代销机构规定为准。</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3.预约</w:t>
            </w:r>
            <w:r>
              <w:rPr>
                <w:rFonts w:ascii="仿宋" w:hAnsi="仿宋" w:eastAsia="仿宋"/>
                <w:bCs/>
                <w:szCs w:val="21"/>
              </w:rPr>
              <w:t>申购、</w:t>
            </w:r>
            <w:r>
              <w:rPr>
                <w:rFonts w:hint="eastAsia" w:ascii="仿宋" w:hAnsi="仿宋" w:eastAsia="仿宋"/>
                <w:bCs/>
                <w:szCs w:val="21"/>
              </w:rPr>
              <w:t>预约</w:t>
            </w:r>
            <w:r>
              <w:rPr>
                <w:rFonts w:ascii="仿宋" w:hAnsi="仿宋" w:eastAsia="仿宋"/>
                <w:bCs/>
                <w:szCs w:val="21"/>
              </w:rPr>
              <w:t>赎回撤销</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通过华夏银行/华夏理财购买的，封闭期内的最后</w:t>
            </w:r>
            <w:r>
              <w:rPr>
                <w:rFonts w:ascii="仿宋" w:hAnsi="仿宋" w:eastAsia="仿宋"/>
                <w:bCs/>
                <w:szCs w:val="21"/>
              </w:rPr>
              <w:t>一</w:t>
            </w:r>
            <w:r>
              <w:rPr>
                <w:rFonts w:hint="eastAsia" w:ascii="仿宋" w:hAnsi="仿宋" w:eastAsia="仿宋"/>
                <w:bCs/>
                <w:szCs w:val="21"/>
              </w:rPr>
              <w:t>个</w:t>
            </w:r>
            <w:r>
              <w:rPr>
                <w:rFonts w:ascii="仿宋" w:hAnsi="仿宋" w:eastAsia="仿宋"/>
                <w:bCs/>
                <w:szCs w:val="21"/>
              </w:rPr>
              <w:t>工作日</w:t>
            </w:r>
            <w:r>
              <w:rPr>
                <w:rFonts w:hint="eastAsia" w:ascii="仿宋" w:hAnsi="仿宋" w:eastAsia="仿宋"/>
                <w:bCs/>
                <w:szCs w:val="21"/>
              </w:rPr>
              <w:t xml:space="preserve"> </w:t>
            </w:r>
            <w:r>
              <w:rPr>
                <w:rFonts w:ascii="仿宋" w:hAnsi="仿宋" w:eastAsia="仿宋"/>
                <w:bCs/>
                <w:szCs w:val="21"/>
                <w:u w:val="single"/>
              </w:rPr>
              <w:t>15:30</w:t>
            </w:r>
            <w:r>
              <w:rPr>
                <w:rFonts w:hint="eastAsia" w:ascii="仿宋" w:hAnsi="仿宋" w:eastAsia="仿宋"/>
                <w:bCs/>
                <w:szCs w:val="21"/>
                <w:u w:val="single"/>
              </w:rPr>
              <w:t>（不含）</w:t>
            </w:r>
            <w:r>
              <w:rPr>
                <w:rFonts w:hint="eastAsia" w:ascii="仿宋" w:hAnsi="仿宋" w:eastAsia="仿宋"/>
                <w:bCs/>
                <w:szCs w:val="21"/>
              </w:rPr>
              <w:t>前</w:t>
            </w:r>
            <w:r>
              <w:rPr>
                <w:rFonts w:ascii="仿宋" w:hAnsi="仿宋" w:eastAsia="仿宋"/>
                <w:bCs/>
                <w:szCs w:val="21"/>
              </w:rPr>
              <w:t>，</w:t>
            </w:r>
            <w:r>
              <w:rPr>
                <w:rFonts w:hint="eastAsia" w:ascii="仿宋" w:hAnsi="仿宋" w:eastAsia="仿宋"/>
                <w:bCs/>
                <w:szCs w:val="21"/>
              </w:rPr>
              <w:t>投资</w:t>
            </w:r>
            <w:r>
              <w:rPr>
                <w:rFonts w:ascii="仿宋" w:hAnsi="仿宋" w:eastAsia="仿宋"/>
                <w:bCs/>
                <w:szCs w:val="21"/>
              </w:rPr>
              <w:t>者</w:t>
            </w:r>
            <w:r>
              <w:rPr>
                <w:rFonts w:hint="eastAsia" w:ascii="仿宋" w:hAnsi="仿宋" w:eastAsia="仿宋"/>
                <w:bCs/>
                <w:szCs w:val="21"/>
              </w:rPr>
              <w:t>可</w:t>
            </w:r>
            <w:r>
              <w:rPr>
                <w:rFonts w:ascii="仿宋" w:hAnsi="仿宋" w:eastAsia="仿宋"/>
                <w:bCs/>
                <w:szCs w:val="21"/>
              </w:rPr>
              <w:t>全额撤销已提交的</w:t>
            </w:r>
            <w:r>
              <w:rPr>
                <w:rFonts w:hint="eastAsia" w:ascii="仿宋" w:hAnsi="仿宋" w:eastAsia="仿宋"/>
                <w:bCs/>
                <w:szCs w:val="21"/>
              </w:rPr>
              <w:t>预约</w:t>
            </w:r>
            <w:r>
              <w:rPr>
                <w:rFonts w:ascii="仿宋" w:hAnsi="仿宋" w:eastAsia="仿宋"/>
                <w:bCs/>
                <w:szCs w:val="21"/>
              </w:rPr>
              <w:t>购买</w:t>
            </w:r>
            <w:r>
              <w:rPr>
                <w:rFonts w:hint="eastAsia" w:ascii="仿宋" w:hAnsi="仿宋" w:eastAsia="仿宋"/>
                <w:bCs/>
                <w:szCs w:val="21"/>
              </w:rPr>
              <w:t>、预约赎回申请；通过其他代销机构购买的，预约申购、预约赎回撤销以代销机构的规定为准。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认购费/申购费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szCs w:val="21"/>
              </w:rPr>
            </w:pPr>
            <w:r>
              <w:rPr>
                <w:rFonts w:hint="eastAsia" w:ascii="仿宋" w:hAnsi="仿宋" w:eastAsia="仿宋"/>
                <w:b/>
                <w:bCs/>
                <w:szCs w:val="21"/>
              </w:rPr>
              <w:t>本理财产品不收取认购费/申购费。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赎回费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szCs w:val="21"/>
              </w:rPr>
            </w:pPr>
            <w:r>
              <w:rPr>
                <w:rFonts w:hint="eastAsia" w:ascii="仿宋" w:hAnsi="仿宋" w:eastAsia="仿宋"/>
                <w:b/>
                <w:bCs/>
                <w:szCs w:val="21"/>
              </w:rPr>
              <w:t>本理财产品不收取赎回费。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托管费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0.0</w:t>
            </w:r>
            <w:r>
              <w:rPr>
                <w:rFonts w:ascii="仿宋" w:hAnsi="仿宋" w:eastAsia="仿宋"/>
                <w:b/>
                <w:bCs/>
                <w:szCs w:val="21"/>
              </w:rPr>
              <w:t>3</w:t>
            </w:r>
            <w:r>
              <w:rPr>
                <w:rFonts w:hint="eastAsia" w:ascii="仿宋" w:hAnsi="仿宋" w:eastAsia="仿宋"/>
                <w:b/>
                <w:bCs/>
                <w:szCs w:val="21"/>
              </w:rPr>
              <w:t>%/年，以前一日资产净值为基数，每日计提。</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公式如下：</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F=E×【0.0</w:t>
            </w:r>
            <w:r>
              <w:rPr>
                <w:rFonts w:ascii="仿宋" w:hAnsi="仿宋" w:eastAsia="仿宋"/>
                <w:b/>
                <w:bCs/>
                <w:szCs w:val="21"/>
              </w:rPr>
              <w:t>3</w:t>
            </w:r>
            <w:r>
              <w:rPr>
                <w:rFonts w:hint="eastAsia" w:ascii="仿宋" w:hAnsi="仿宋" w:eastAsia="仿宋"/>
                <w:b/>
                <w:bCs/>
                <w:szCs w:val="21"/>
              </w:rPr>
              <w:t>%】</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szCs w:val="21"/>
              </w:rPr>
              <w:t>F为托管费  ；E为计算</w:t>
            </w:r>
            <w:r>
              <w:rPr>
                <w:rFonts w:ascii="仿宋" w:hAnsi="仿宋" w:eastAsia="仿宋"/>
                <w:b/>
                <w:bCs/>
                <w:szCs w:val="21"/>
              </w:rPr>
              <w:t>基数</w:t>
            </w:r>
            <w:r>
              <w:rPr>
                <w:rFonts w:hint="eastAsia"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销售手续费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
                <w:bCs/>
                <w:szCs w:val="21"/>
              </w:rPr>
            </w:pPr>
            <w:r>
              <w:rPr>
                <w:rFonts w:hint="eastAsia" w:ascii="仿宋" w:hAnsi="仿宋" w:eastAsia="仿宋" w:cs="Cambria"/>
                <w:b/>
                <w:bCs/>
                <w:szCs w:val="21"/>
              </w:rPr>
              <w:t>A份额：</w:t>
            </w:r>
            <w:r>
              <w:rPr>
                <w:rFonts w:hint="eastAsia" w:ascii="仿宋" w:hAnsi="仿宋" w:eastAsia="仿宋"/>
                <w:b/>
                <w:bCs/>
                <w:szCs w:val="21"/>
              </w:rPr>
              <w:t>0.</w:t>
            </w:r>
            <w:r>
              <w:rPr>
                <w:rFonts w:ascii="仿宋" w:hAnsi="仿宋" w:eastAsia="仿宋"/>
                <w:b/>
                <w:bCs/>
                <w:szCs w:val="21"/>
              </w:rPr>
              <w:t>30</w:t>
            </w:r>
            <w:r>
              <w:rPr>
                <w:rFonts w:hint="eastAsia" w:ascii="仿宋" w:hAnsi="仿宋" w:eastAsia="仿宋"/>
                <w:b/>
                <w:bCs/>
                <w:szCs w:val="21"/>
              </w:rPr>
              <w:t>%/年，以前一日资产净值为基数，每日计提。</w:t>
            </w:r>
          </w:p>
          <w:p>
            <w:pPr>
              <w:adjustRightInd w:val="0"/>
              <w:snapToGrid w:val="0"/>
              <w:spacing w:line="240" w:lineRule="atLeast"/>
              <w:ind w:firstLine="420"/>
              <w:jc w:val="left"/>
              <w:rPr>
                <w:rFonts w:ascii="仿宋" w:hAnsi="仿宋" w:eastAsia="仿宋"/>
                <w:b/>
                <w:bCs/>
                <w:szCs w:val="21"/>
              </w:rPr>
            </w:pPr>
            <w:r>
              <w:rPr>
                <w:rFonts w:ascii="仿宋" w:hAnsi="仿宋" w:eastAsia="仿宋" w:cs="Cambria"/>
                <w:b/>
                <w:bCs/>
                <w:szCs w:val="21"/>
              </w:rPr>
              <w:t>B</w:t>
            </w:r>
            <w:r>
              <w:rPr>
                <w:rFonts w:hint="eastAsia" w:ascii="仿宋" w:hAnsi="仿宋" w:eastAsia="仿宋" w:cs="Cambria"/>
                <w:b/>
                <w:bCs/>
                <w:szCs w:val="21"/>
              </w:rPr>
              <w:t>份额：</w:t>
            </w:r>
            <w:r>
              <w:rPr>
                <w:rFonts w:hint="eastAsia" w:ascii="仿宋" w:hAnsi="仿宋" w:eastAsia="仿宋"/>
                <w:b/>
                <w:bCs/>
                <w:szCs w:val="21"/>
              </w:rPr>
              <w:t>0.</w:t>
            </w:r>
            <w:r>
              <w:rPr>
                <w:rFonts w:ascii="仿宋" w:hAnsi="仿宋" w:eastAsia="仿宋"/>
                <w:b/>
                <w:bCs/>
                <w:szCs w:val="21"/>
              </w:rPr>
              <w:t>30</w:t>
            </w:r>
            <w:r>
              <w:rPr>
                <w:rFonts w:hint="eastAsia" w:ascii="仿宋" w:hAnsi="仿宋" w:eastAsia="仿宋"/>
                <w:b/>
                <w:bCs/>
                <w:szCs w:val="21"/>
              </w:rPr>
              <w:t>%/年，以前一日资产净值为基数，每日计提。</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cs="Cambria"/>
                <w:b/>
                <w:bCs/>
                <w:szCs w:val="21"/>
              </w:rPr>
              <w:t>C份额：</w:t>
            </w:r>
            <w:r>
              <w:rPr>
                <w:rFonts w:hint="eastAsia" w:ascii="仿宋" w:hAnsi="仿宋" w:eastAsia="仿宋"/>
                <w:b/>
                <w:bCs/>
                <w:szCs w:val="21"/>
              </w:rPr>
              <w:t>0.15%/年，以前一日资产净值为基数，每日计提。</w:t>
            </w:r>
          </w:p>
          <w:p>
            <w:pPr>
              <w:adjustRightInd w:val="0"/>
              <w:snapToGrid w:val="0"/>
              <w:spacing w:line="240" w:lineRule="atLeast"/>
              <w:ind w:firstLine="420"/>
              <w:jc w:val="left"/>
              <w:rPr>
                <w:rFonts w:ascii="仿宋" w:hAnsi="仿宋" w:eastAsia="仿宋"/>
                <w:b/>
                <w:bCs/>
                <w:szCs w:val="21"/>
              </w:rPr>
            </w:pPr>
            <w:r>
              <w:rPr>
                <w:rFonts w:ascii="仿宋" w:hAnsi="仿宋" w:eastAsia="仿宋" w:cs="Cambria"/>
                <w:b/>
                <w:bCs/>
                <w:szCs w:val="21"/>
              </w:rPr>
              <w:t>D</w:t>
            </w:r>
            <w:r>
              <w:rPr>
                <w:rFonts w:hint="eastAsia" w:ascii="仿宋" w:hAnsi="仿宋" w:eastAsia="仿宋" w:cs="Cambria"/>
                <w:b/>
                <w:bCs/>
                <w:szCs w:val="21"/>
              </w:rPr>
              <w:t>份额：</w:t>
            </w:r>
            <w:r>
              <w:rPr>
                <w:rFonts w:hint="eastAsia" w:ascii="仿宋" w:hAnsi="仿宋" w:eastAsia="仿宋"/>
                <w:b/>
                <w:bCs/>
                <w:szCs w:val="21"/>
              </w:rPr>
              <w:t>0.15%/年，以前一日资产净值为基数，每日计提。</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cs="Cambria"/>
                <w:b/>
                <w:bCs/>
                <w:szCs w:val="21"/>
              </w:rPr>
              <w:t>H份额：</w:t>
            </w:r>
            <w:r>
              <w:rPr>
                <w:rFonts w:hint="eastAsia" w:ascii="仿宋" w:hAnsi="仿宋" w:eastAsia="仿宋"/>
                <w:b/>
                <w:bCs/>
                <w:szCs w:val="21"/>
              </w:rPr>
              <w:t>0.25%/年，以前一日资产净值为基数，每日计提。</w:t>
            </w:r>
          </w:p>
          <w:p>
            <w:pPr>
              <w:adjustRightInd w:val="0"/>
              <w:snapToGrid w:val="0"/>
              <w:spacing w:line="240" w:lineRule="atLeast"/>
              <w:ind w:firstLine="420"/>
              <w:jc w:val="left"/>
              <w:rPr>
                <w:rFonts w:hint="eastAsia" w:ascii="仿宋" w:hAnsi="仿宋" w:eastAsia="仿宋"/>
                <w:b/>
                <w:bCs/>
                <w:szCs w:val="21"/>
              </w:rPr>
            </w:pPr>
            <w:r>
              <w:rPr>
                <w:rFonts w:ascii="仿宋" w:hAnsi="仿宋" w:eastAsia="仿宋" w:cs="Cambria"/>
                <w:b/>
                <w:bCs/>
                <w:szCs w:val="21"/>
              </w:rPr>
              <w:t>M</w:t>
            </w:r>
            <w:r>
              <w:rPr>
                <w:rFonts w:hint="eastAsia" w:ascii="仿宋" w:hAnsi="仿宋" w:eastAsia="仿宋" w:cs="Cambria"/>
                <w:b/>
                <w:bCs/>
                <w:szCs w:val="21"/>
              </w:rPr>
              <w:t>份额：</w:t>
            </w:r>
            <w:r>
              <w:rPr>
                <w:rFonts w:hint="eastAsia" w:ascii="仿宋" w:hAnsi="仿宋" w:eastAsia="仿宋"/>
                <w:b/>
                <w:bCs/>
                <w:szCs w:val="21"/>
              </w:rPr>
              <w:t>0.</w:t>
            </w:r>
            <w:r>
              <w:rPr>
                <w:rFonts w:ascii="仿宋" w:hAnsi="仿宋" w:eastAsia="仿宋"/>
                <w:b/>
                <w:bCs/>
                <w:szCs w:val="21"/>
              </w:rPr>
              <w:t>30</w:t>
            </w:r>
            <w:r>
              <w:rPr>
                <w:rFonts w:hint="eastAsia" w:ascii="仿宋" w:hAnsi="仿宋" w:eastAsia="仿宋"/>
                <w:b/>
                <w:bCs/>
                <w:szCs w:val="21"/>
              </w:rPr>
              <w:t>%/年，以前一日资产净值为基数，每日计提。</w:t>
            </w:r>
          </w:p>
          <w:p>
            <w:pPr>
              <w:adjustRightInd w:val="0"/>
              <w:snapToGrid w:val="0"/>
              <w:spacing w:line="240" w:lineRule="atLeast"/>
              <w:ind w:firstLine="420"/>
              <w:jc w:val="left"/>
              <w:rPr>
                <w:rFonts w:hint="eastAsia" w:ascii="仿宋" w:hAnsi="仿宋" w:eastAsia="仿宋"/>
                <w:b/>
                <w:bCs/>
                <w:szCs w:val="21"/>
              </w:rPr>
            </w:pPr>
            <w:r>
              <w:rPr>
                <w:rFonts w:hint="eastAsia" w:ascii="仿宋" w:hAnsi="仿宋" w:eastAsia="仿宋" w:cs="Cambria"/>
                <w:b/>
                <w:bCs/>
                <w:szCs w:val="21"/>
                <w:lang w:val="en-US" w:eastAsia="zh-CN"/>
              </w:rPr>
              <w:t>O</w:t>
            </w:r>
            <w:r>
              <w:rPr>
                <w:rFonts w:hint="eastAsia" w:ascii="仿宋" w:hAnsi="仿宋" w:eastAsia="仿宋" w:cs="Cambria"/>
                <w:b/>
                <w:bCs/>
                <w:szCs w:val="21"/>
              </w:rPr>
              <w:t>份额：</w:t>
            </w:r>
            <w:r>
              <w:rPr>
                <w:rFonts w:hint="eastAsia" w:ascii="仿宋" w:hAnsi="仿宋" w:eastAsia="仿宋"/>
                <w:b/>
                <w:bCs/>
                <w:szCs w:val="21"/>
              </w:rPr>
              <w:t>0.</w:t>
            </w:r>
            <w:r>
              <w:rPr>
                <w:rFonts w:hint="eastAsia" w:ascii="仿宋" w:hAnsi="仿宋" w:eastAsia="仿宋"/>
                <w:b/>
                <w:bCs/>
                <w:szCs w:val="21"/>
                <w:lang w:val="en-US" w:eastAsia="zh-CN"/>
              </w:rPr>
              <w:t>1</w:t>
            </w:r>
            <w:r>
              <w:rPr>
                <w:rFonts w:ascii="仿宋" w:hAnsi="仿宋" w:eastAsia="仿宋"/>
                <w:b/>
                <w:bCs/>
                <w:szCs w:val="21"/>
              </w:rPr>
              <w:t>0</w:t>
            </w:r>
            <w:r>
              <w:rPr>
                <w:rFonts w:hint="eastAsia" w:ascii="仿宋" w:hAnsi="仿宋" w:eastAsia="仿宋"/>
                <w:b/>
                <w:bCs/>
                <w:szCs w:val="21"/>
              </w:rPr>
              <w:t>%/年，以前一日资产净值为基数，每日计提。</w:t>
            </w:r>
          </w:p>
          <w:p>
            <w:pPr>
              <w:adjustRightInd w:val="0"/>
              <w:snapToGrid w:val="0"/>
              <w:spacing w:line="240" w:lineRule="atLeast"/>
              <w:ind w:firstLine="420"/>
              <w:jc w:val="left"/>
              <w:rPr>
                <w:rFonts w:hint="eastAsia" w:ascii="仿宋" w:hAnsi="仿宋" w:eastAsia="仿宋"/>
                <w:b/>
                <w:bCs/>
                <w:szCs w:val="21"/>
              </w:rPr>
            </w:pPr>
            <w:r>
              <w:rPr>
                <w:rFonts w:hint="eastAsia" w:ascii="仿宋" w:hAnsi="仿宋" w:eastAsia="仿宋" w:cs="Cambria"/>
                <w:b/>
                <w:bCs/>
                <w:szCs w:val="21"/>
                <w:lang w:val="en-US" w:eastAsia="zh-CN"/>
              </w:rPr>
              <w:t>W</w:t>
            </w:r>
            <w:r>
              <w:rPr>
                <w:rFonts w:hint="eastAsia" w:ascii="仿宋" w:hAnsi="仿宋" w:eastAsia="仿宋" w:cs="Cambria"/>
                <w:b/>
                <w:bCs/>
                <w:szCs w:val="21"/>
              </w:rPr>
              <w:t>份额：</w:t>
            </w:r>
            <w:r>
              <w:rPr>
                <w:rFonts w:hint="eastAsia" w:ascii="仿宋" w:hAnsi="仿宋" w:eastAsia="仿宋"/>
                <w:b/>
                <w:bCs/>
                <w:szCs w:val="21"/>
              </w:rPr>
              <w:t>0.</w:t>
            </w:r>
            <w:r>
              <w:rPr>
                <w:rFonts w:hint="eastAsia" w:ascii="仿宋" w:hAnsi="仿宋" w:eastAsia="仿宋"/>
                <w:b/>
                <w:bCs/>
                <w:szCs w:val="21"/>
                <w:lang w:val="en-US" w:eastAsia="zh-CN"/>
              </w:rPr>
              <w:t>4</w:t>
            </w:r>
            <w:r>
              <w:rPr>
                <w:rFonts w:ascii="仿宋" w:hAnsi="仿宋" w:eastAsia="仿宋"/>
                <w:b/>
                <w:bCs/>
                <w:szCs w:val="21"/>
              </w:rPr>
              <w:t>0</w:t>
            </w:r>
            <w:r>
              <w:rPr>
                <w:rFonts w:hint="eastAsia" w:ascii="仿宋" w:hAnsi="仿宋" w:eastAsia="仿宋"/>
                <w:b/>
                <w:bCs/>
                <w:szCs w:val="21"/>
              </w:rPr>
              <w:t>%/年，以前一日资产净值为基数，每日计提。</w:t>
            </w:r>
          </w:p>
          <w:p>
            <w:pPr>
              <w:adjustRightInd w:val="0"/>
              <w:snapToGrid w:val="0"/>
              <w:spacing w:line="240" w:lineRule="atLeast"/>
              <w:ind w:firstLine="420"/>
              <w:jc w:val="left"/>
              <w:rPr>
                <w:rFonts w:hint="eastAsia" w:ascii="仿宋" w:hAnsi="仿宋" w:eastAsia="仿宋"/>
                <w:b/>
                <w:bCs/>
                <w:szCs w:val="21"/>
              </w:rPr>
            </w:pPr>
            <w:r>
              <w:rPr>
                <w:rFonts w:hint="eastAsia" w:ascii="仿宋" w:hAnsi="仿宋" w:eastAsia="仿宋" w:cs="Cambria"/>
                <w:b/>
                <w:bCs/>
                <w:szCs w:val="21"/>
                <w:lang w:val="en-US" w:eastAsia="zh-CN"/>
              </w:rPr>
              <w:t>Y</w:t>
            </w:r>
            <w:r>
              <w:rPr>
                <w:rFonts w:hint="eastAsia" w:ascii="仿宋" w:hAnsi="仿宋" w:eastAsia="仿宋" w:cs="Cambria"/>
                <w:b/>
                <w:bCs/>
                <w:szCs w:val="21"/>
              </w:rPr>
              <w:t>份额：</w:t>
            </w:r>
            <w:r>
              <w:rPr>
                <w:rFonts w:hint="eastAsia" w:ascii="仿宋" w:hAnsi="仿宋" w:eastAsia="仿宋"/>
                <w:b/>
                <w:bCs/>
                <w:szCs w:val="21"/>
              </w:rPr>
              <w:t>0.</w:t>
            </w:r>
            <w:r>
              <w:rPr>
                <w:rFonts w:ascii="仿宋" w:hAnsi="仿宋" w:eastAsia="仿宋"/>
                <w:b/>
                <w:bCs/>
                <w:szCs w:val="21"/>
              </w:rPr>
              <w:t>30</w:t>
            </w:r>
            <w:r>
              <w:rPr>
                <w:rFonts w:hint="eastAsia" w:ascii="仿宋" w:hAnsi="仿宋" w:eastAsia="仿宋"/>
                <w:b/>
                <w:bCs/>
                <w:szCs w:val="21"/>
              </w:rPr>
              <w:t>%/年，以前一日资产净值为基数，每日计提。</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cs="Cambria"/>
                <w:b/>
                <w:bCs/>
                <w:szCs w:val="21"/>
              </w:rPr>
              <w:t>Z份额：</w:t>
            </w:r>
            <w:r>
              <w:rPr>
                <w:rFonts w:hint="eastAsia" w:ascii="仿宋" w:hAnsi="仿宋" w:eastAsia="仿宋"/>
                <w:b/>
                <w:bCs/>
                <w:szCs w:val="21"/>
              </w:rPr>
              <w:t>0.</w:t>
            </w:r>
            <w:r>
              <w:rPr>
                <w:rFonts w:ascii="仿宋" w:hAnsi="仿宋" w:eastAsia="仿宋"/>
                <w:b/>
                <w:bCs/>
                <w:szCs w:val="21"/>
              </w:rPr>
              <w:t>30</w:t>
            </w:r>
            <w:r>
              <w:rPr>
                <w:rFonts w:hint="eastAsia" w:ascii="仿宋" w:hAnsi="仿宋" w:eastAsia="仿宋"/>
                <w:b/>
                <w:bCs/>
                <w:szCs w:val="21"/>
              </w:rPr>
              <w:t>%/年，以前一日资产净值为基数，每日计提。</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公式如下：</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F=E×【各</w:t>
            </w:r>
            <w:r>
              <w:rPr>
                <w:rFonts w:ascii="仿宋" w:hAnsi="仿宋" w:eastAsia="仿宋"/>
                <w:b/>
                <w:bCs/>
                <w:szCs w:val="21"/>
              </w:rPr>
              <w:t>份额</w:t>
            </w:r>
            <w:r>
              <w:rPr>
                <w:rFonts w:hint="eastAsia" w:ascii="仿宋" w:hAnsi="仿宋" w:eastAsia="仿宋"/>
                <w:b/>
                <w:bCs/>
                <w:szCs w:val="21"/>
              </w:rPr>
              <w:t>销售</w:t>
            </w:r>
            <w:r>
              <w:rPr>
                <w:rFonts w:ascii="仿宋" w:hAnsi="仿宋" w:eastAsia="仿宋"/>
                <w:b/>
                <w:bCs/>
                <w:szCs w:val="21"/>
              </w:rPr>
              <w:t>手续费率</w:t>
            </w:r>
            <w:r>
              <w:rPr>
                <w:rFonts w:hint="eastAsia" w:ascii="仿宋" w:hAnsi="仿宋" w:eastAsia="仿宋"/>
                <w:b/>
                <w:bCs/>
                <w:szCs w:val="21"/>
              </w:rPr>
              <w:t>】</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szCs w:val="21"/>
              </w:rPr>
              <w:t>F为各份额销售</w:t>
            </w:r>
            <w:r>
              <w:rPr>
                <w:rFonts w:ascii="仿宋" w:hAnsi="仿宋" w:eastAsia="仿宋"/>
                <w:b/>
                <w:bCs/>
                <w:szCs w:val="21"/>
              </w:rPr>
              <w:t>手续费</w:t>
            </w:r>
            <w:r>
              <w:rPr>
                <w:rFonts w:hint="eastAsia" w:ascii="仿宋" w:hAnsi="仿宋" w:eastAsia="仿宋"/>
                <w:b/>
                <w:bCs/>
                <w:szCs w:val="21"/>
              </w:rPr>
              <w:t>；E为计算</w:t>
            </w:r>
            <w:r>
              <w:rPr>
                <w:rFonts w:ascii="仿宋" w:hAnsi="仿宋" w:eastAsia="仿宋"/>
                <w:b/>
                <w:bCs/>
                <w:szCs w:val="21"/>
              </w:rPr>
              <w:t>基数</w:t>
            </w:r>
            <w:r>
              <w:rPr>
                <w:rFonts w:hint="eastAsia" w:ascii="仿宋" w:hAnsi="仿宋" w:eastAsia="仿宋"/>
                <w:b/>
                <w:bCs/>
                <w:szCs w:val="21"/>
              </w:rPr>
              <w:t>。</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（销售手续费由销售服务机构收取。）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固定管理费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0.</w:t>
            </w:r>
            <w:r>
              <w:rPr>
                <w:rFonts w:ascii="仿宋" w:hAnsi="仿宋" w:eastAsia="仿宋"/>
                <w:b/>
                <w:bCs/>
                <w:szCs w:val="21"/>
              </w:rPr>
              <w:t>50</w:t>
            </w:r>
            <w:r>
              <w:rPr>
                <w:rFonts w:hint="eastAsia" w:ascii="仿宋" w:hAnsi="仿宋" w:eastAsia="仿宋"/>
                <w:b/>
                <w:bCs/>
                <w:szCs w:val="21"/>
              </w:rPr>
              <w:t>%/年，以前一日资产净值为基数，每日计提。</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公式如下：</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F=E×【0.</w:t>
            </w:r>
            <w:r>
              <w:rPr>
                <w:rFonts w:ascii="仿宋" w:hAnsi="仿宋" w:eastAsia="仿宋"/>
                <w:b/>
                <w:bCs/>
                <w:szCs w:val="21"/>
              </w:rPr>
              <w:t>50</w:t>
            </w:r>
            <w:r>
              <w:rPr>
                <w:rFonts w:hint="eastAsia" w:ascii="仿宋" w:hAnsi="仿宋" w:eastAsia="仿宋"/>
                <w:b/>
                <w:bCs/>
                <w:szCs w:val="21"/>
              </w:rPr>
              <w:t>%】</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szCs w:val="21"/>
              </w:rPr>
              <w:t>F为固定管理费；E为计算</w:t>
            </w:r>
            <w:r>
              <w:rPr>
                <w:rFonts w:ascii="仿宋" w:hAnsi="仿宋" w:eastAsia="仿宋"/>
                <w:b/>
                <w:bCs/>
                <w:szCs w:val="21"/>
              </w:rPr>
              <w:t>基数</w:t>
            </w:r>
            <w:r>
              <w:rPr>
                <w:rFonts w:hint="eastAsia"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其他</w:t>
            </w:r>
            <w:r>
              <w:rPr>
                <w:rFonts w:ascii="仿宋" w:hAnsi="仿宋" w:eastAsia="仿宋"/>
                <w:bCs/>
                <w:szCs w:val="21"/>
              </w:rPr>
              <w:t>费用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szCs w:val="21"/>
              </w:rPr>
            </w:pPr>
            <w:r>
              <w:rPr>
                <w:rFonts w:hint="eastAsia" w:ascii="仿宋" w:hAnsi="仿宋" w:eastAsia="仿宋"/>
                <w:b/>
                <w:bCs/>
                <w:szCs w:val="21"/>
              </w:rPr>
              <w:t>理财资金运作期间以及追索理财资金可能产生的诉讼费、保全费、信托费、税费、审计费、律师费、公证费、清算费、执行费等，按其实际发生数额从理财资产中支取。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超额</w:t>
            </w:r>
            <w:r>
              <w:rPr>
                <w:rFonts w:ascii="仿宋" w:hAnsi="仿宋" w:eastAsia="仿宋"/>
                <w:bCs/>
                <w:szCs w:val="21"/>
              </w:rPr>
              <w:t>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szCs w:val="21"/>
              </w:rPr>
            </w:pPr>
            <w:r>
              <w:rPr>
                <w:rFonts w:hint="eastAsia" w:ascii="仿宋" w:hAnsi="仿宋" w:eastAsia="仿宋"/>
                <w:b/>
                <w:bCs/>
                <w:szCs w:val="21"/>
              </w:rPr>
              <w:t>本理财产品</w:t>
            </w:r>
            <w:r>
              <w:rPr>
                <w:rFonts w:ascii="仿宋" w:hAnsi="仿宋" w:eastAsia="仿宋"/>
                <w:b/>
                <w:bCs/>
                <w:szCs w:val="21"/>
              </w:rPr>
              <w:t>不收取超额管理费。</w:t>
            </w:r>
          </w:p>
          <w:p>
            <w:pPr>
              <w:adjustRightInd w:val="0"/>
              <w:snapToGrid w:val="0"/>
              <w:spacing w:line="240" w:lineRule="atLeast"/>
              <w:ind w:firstLine="420"/>
              <w:rPr>
                <w:rFonts w:ascii="仿宋" w:hAnsi="仿宋" w:eastAsia="仿宋"/>
                <w:b/>
                <w:bCs/>
                <w:szCs w:val="21"/>
                <w:u w:val="single"/>
              </w:rPr>
            </w:pPr>
            <w:r>
              <w:rPr>
                <w:rFonts w:hint="eastAsia" w:ascii="仿宋" w:hAnsi="仿宋" w:eastAsia="仿宋"/>
                <w:b/>
                <w:color w:val="000000"/>
                <w:szCs w:val="21"/>
              </w:rPr>
              <w:t>华夏理财有权根据市场</w:t>
            </w:r>
            <w:r>
              <w:rPr>
                <w:rFonts w:hint="eastAsia" w:ascii="仿宋" w:hAnsi="仿宋" w:eastAsia="仿宋"/>
                <w:b/>
                <w:szCs w:val="21"/>
              </w:rPr>
              <w:t>及产品运作情况调整上述规则，并至少于生效前3个工作日通过本产品说明书约定的信息披露渠道进行公告</w:t>
            </w:r>
            <w:r>
              <w:rPr>
                <w:rFonts w:hint="eastAsia" w:ascii="仿宋" w:hAnsi="仿宋" w:eastAsia="仿宋"/>
                <w:b/>
                <w:color w:val="00000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份额净值公告日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 xml:space="preserve">产品开放日后第 </w:t>
            </w:r>
            <w:r>
              <w:rPr>
                <w:rFonts w:ascii="仿宋" w:hAnsi="仿宋" w:eastAsia="仿宋"/>
                <w:bCs/>
                <w:szCs w:val="21"/>
                <w:u w:val="single"/>
              </w:rPr>
              <w:t>2</w:t>
            </w:r>
            <w:r>
              <w:rPr>
                <w:rFonts w:hint="eastAsia" w:ascii="仿宋" w:hAnsi="仿宋" w:eastAsia="仿宋"/>
                <w:bCs/>
                <w:szCs w:val="21"/>
              </w:rPr>
              <w:t xml:space="preserve"> 个</w:t>
            </w:r>
            <w:r>
              <w:rPr>
                <w:rFonts w:ascii="仿宋" w:hAnsi="仿宋" w:eastAsia="仿宋"/>
                <w:bCs/>
                <w:szCs w:val="21"/>
              </w:rPr>
              <w:t>工作日为</w:t>
            </w:r>
            <w:r>
              <w:rPr>
                <w:rFonts w:hint="eastAsia" w:ascii="仿宋" w:hAnsi="仿宋" w:eastAsia="仿宋"/>
                <w:bCs/>
                <w:szCs w:val="21"/>
              </w:rPr>
              <w:t>份额净值</w:t>
            </w:r>
            <w:r>
              <w:rPr>
                <w:rFonts w:ascii="仿宋" w:hAnsi="仿宋" w:eastAsia="仿宋"/>
                <w:bCs/>
                <w:szCs w:val="21"/>
              </w:rPr>
              <w:t>公告日，</w:t>
            </w:r>
            <w:r>
              <w:rPr>
                <w:rFonts w:hint="eastAsia" w:ascii="仿宋" w:hAnsi="仿宋" w:eastAsia="仿宋"/>
                <w:bCs/>
                <w:szCs w:val="21"/>
              </w:rPr>
              <w:t>公告产品开放日</w:t>
            </w:r>
            <w:r>
              <w:rPr>
                <w:rFonts w:ascii="仿宋" w:hAnsi="仿宋" w:eastAsia="仿宋"/>
                <w:bCs/>
                <w:szCs w:val="21"/>
              </w:rPr>
              <w:t>的</w:t>
            </w:r>
            <w:r>
              <w:rPr>
                <w:rFonts w:hint="eastAsia" w:ascii="仿宋" w:hAnsi="仿宋" w:eastAsia="仿宋"/>
                <w:bCs/>
                <w:szCs w:val="21"/>
              </w:rPr>
              <w:t>份额净值</w:t>
            </w:r>
            <w:r>
              <w:rPr>
                <w:rFonts w:ascii="仿宋" w:hAnsi="仿宋" w:eastAsia="仿宋"/>
                <w:bCs/>
                <w:szCs w:val="21"/>
              </w:rPr>
              <w:t>。</w:t>
            </w:r>
            <w:r>
              <w:rPr>
                <w:rFonts w:hint="eastAsia" w:ascii="仿宋" w:hAnsi="仿宋" w:eastAsia="仿宋"/>
                <w:bCs/>
                <w:szCs w:val="21"/>
              </w:rPr>
              <w:t>产品到期/终止</w:t>
            </w:r>
            <w:r>
              <w:rPr>
                <w:rFonts w:ascii="仿宋" w:hAnsi="仿宋" w:eastAsia="仿宋"/>
                <w:bCs/>
                <w:szCs w:val="21"/>
              </w:rPr>
              <w:t>后的</w:t>
            </w:r>
            <w:r>
              <w:rPr>
                <w:rFonts w:hint="eastAsia" w:ascii="仿宋" w:hAnsi="仿宋" w:eastAsia="仿宋"/>
                <w:bCs/>
                <w:szCs w:val="21"/>
              </w:rPr>
              <w:t>第</w:t>
            </w:r>
            <w:r>
              <w:rPr>
                <w:rFonts w:ascii="仿宋" w:hAnsi="仿宋" w:eastAsia="仿宋"/>
                <w:bCs/>
                <w:szCs w:val="21"/>
              </w:rPr>
              <w:t xml:space="preserve"> 2 </w:t>
            </w:r>
            <w:r>
              <w:rPr>
                <w:rFonts w:hint="eastAsia" w:ascii="仿宋" w:hAnsi="仿宋" w:eastAsia="仿宋"/>
                <w:bCs/>
                <w:szCs w:val="21"/>
              </w:rPr>
              <w:t>个</w:t>
            </w:r>
            <w:r>
              <w:rPr>
                <w:rFonts w:ascii="仿宋" w:hAnsi="仿宋" w:eastAsia="仿宋"/>
                <w:bCs/>
                <w:szCs w:val="21"/>
              </w:rPr>
              <w:t>工作日为</w:t>
            </w:r>
            <w:r>
              <w:rPr>
                <w:rFonts w:hint="eastAsia" w:ascii="仿宋" w:hAnsi="仿宋" w:eastAsia="仿宋"/>
                <w:bCs/>
                <w:szCs w:val="21"/>
              </w:rPr>
              <w:t>份额净值</w:t>
            </w:r>
            <w:r>
              <w:rPr>
                <w:rFonts w:ascii="仿宋" w:hAnsi="仿宋" w:eastAsia="仿宋"/>
                <w:bCs/>
                <w:szCs w:val="21"/>
              </w:rPr>
              <w:t>公告日，</w:t>
            </w:r>
            <w:r>
              <w:rPr>
                <w:rFonts w:hint="eastAsia" w:ascii="仿宋" w:hAnsi="仿宋" w:eastAsia="仿宋"/>
                <w:bCs/>
                <w:szCs w:val="21"/>
              </w:rPr>
              <w:t>公告产品到期/终止</w:t>
            </w:r>
            <w:r>
              <w:rPr>
                <w:rFonts w:ascii="仿宋" w:hAnsi="仿宋" w:eastAsia="仿宋"/>
                <w:bCs/>
                <w:szCs w:val="21"/>
              </w:rPr>
              <w:t>日的</w:t>
            </w:r>
            <w:r>
              <w:rPr>
                <w:rFonts w:hint="eastAsia" w:ascii="仿宋" w:hAnsi="仿宋" w:eastAsia="仿宋"/>
                <w:bCs/>
                <w:szCs w:val="21"/>
              </w:rPr>
              <w:t>份额净值</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摆动定价</w:t>
            </w:r>
          </w:p>
        </w:tc>
        <w:tc>
          <w:tcPr>
            <w:tcW w:w="7404"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当理财产品遭遇大额申购或赎回时，管理人可根据理财产品投资组合的市场冲击成本调整投资者申购或赎回时的产品份额净值，将调整投资组合的市场冲击成本分配给实际申购或赎回的投资者，从而减少对存量产品投资者利益的不利影响，确保投资者的合法权益不受损害并得到公平对待。</w:t>
            </w:r>
          </w:p>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具体操作规范遵循相关法律法规以及监管部门、自律规则的规定，并以届时管理人信息披露为准。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分红方式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cs="宋体"/>
                <w:kern w:val="0"/>
                <w:szCs w:val="21"/>
              </w:rPr>
            </w:pPr>
            <w:r>
              <w:rPr>
                <w:rFonts w:ascii="仿宋" w:hAnsi="仿宋" w:eastAsia="仿宋" w:cs="宋体"/>
                <w:kern w:val="0"/>
                <w:szCs w:val="21"/>
              </w:rPr>
              <w:t>产品管理人可以在产品存续期根据投资情况选择分红或不分红，若分红，将以现金分红或红利再投资方式进行，默认为现金分红，具体以公告为准。本理财产品分红，将于分红日前3个工作日通过本产品说明书约定的信息披露渠道公布分红方案</w:t>
            </w:r>
            <w:r>
              <w:rPr>
                <w:rFonts w:hint="eastAsia" w:ascii="仿宋" w:hAnsi="仿宋" w:eastAsia="仿宋" w:cs="宋体"/>
                <w:kern w:val="0"/>
                <w:szCs w:val="21"/>
                <w:lang w:eastAsia="zh-CN"/>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提前终止权</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240" w:lineRule="atLeast"/>
              <w:ind w:firstLine="422" w:firstLineChars="200"/>
              <w:jc w:val="left"/>
              <w:rPr>
                <w:rFonts w:ascii="仿宋" w:hAnsi="仿宋" w:eastAsia="仿宋"/>
                <w:b/>
                <w:szCs w:val="21"/>
              </w:rPr>
            </w:pPr>
            <w:r>
              <w:rPr>
                <w:rFonts w:ascii="仿宋" w:hAnsi="仿宋" w:eastAsia="仿宋"/>
                <w:b/>
                <w:szCs w:val="21"/>
              </w:rPr>
              <w:t>一、投资者提前终止权</w:t>
            </w:r>
          </w:p>
          <w:p>
            <w:pPr>
              <w:autoSpaceDE w:val="0"/>
              <w:autoSpaceDN w:val="0"/>
              <w:adjustRightInd w:val="0"/>
              <w:snapToGrid w:val="0"/>
              <w:spacing w:line="240" w:lineRule="atLeast"/>
              <w:ind w:firstLine="422" w:firstLineChars="200"/>
              <w:jc w:val="left"/>
              <w:rPr>
                <w:rFonts w:ascii="仿宋" w:hAnsi="仿宋" w:eastAsia="仿宋"/>
                <w:bCs/>
                <w:szCs w:val="21"/>
              </w:rPr>
            </w:pPr>
            <w:r>
              <w:rPr>
                <w:rFonts w:hint="eastAsia" w:ascii="仿宋" w:hAnsi="仿宋" w:eastAsia="仿宋"/>
                <w:b/>
                <w:szCs w:val="21"/>
              </w:rPr>
              <w:t>华夏理财</w:t>
            </w:r>
            <w:r>
              <w:rPr>
                <w:rFonts w:ascii="仿宋" w:hAnsi="仿宋" w:eastAsia="仿宋"/>
                <w:b/>
                <w:szCs w:val="21"/>
              </w:rPr>
              <w:t>调整本理财产品的</w:t>
            </w:r>
            <w:r>
              <w:rPr>
                <w:rFonts w:hint="eastAsia" w:ascii="仿宋" w:hAnsi="仿宋" w:eastAsia="仿宋"/>
                <w:b/>
                <w:szCs w:val="21"/>
              </w:rPr>
              <w:t>投资范围、投资品种、投资比例、</w:t>
            </w:r>
            <w:r>
              <w:rPr>
                <w:rFonts w:ascii="仿宋" w:hAnsi="仿宋" w:eastAsia="仿宋"/>
                <w:b/>
                <w:szCs w:val="21"/>
              </w:rPr>
              <w:t>收费项目、收费条件、收费标准和收费方式</w:t>
            </w:r>
            <w:r>
              <w:rPr>
                <w:rFonts w:hint="eastAsia" w:ascii="仿宋" w:hAnsi="仿宋" w:eastAsia="仿宋"/>
                <w:b/>
                <w:szCs w:val="21"/>
              </w:rPr>
              <w:t>等，或补充和修订本产品说明书相关条款，将提前3个工作日</w:t>
            </w:r>
            <w:r>
              <w:rPr>
                <w:rFonts w:ascii="仿宋" w:hAnsi="仿宋" w:eastAsia="仿宋"/>
                <w:b/>
                <w:szCs w:val="21"/>
              </w:rPr>
              <w:t>通过本</w:t>
            </w:r>
            <w:r>
              <w:rPr>
                <w:rFonts w:hint="eastAsia" w:ascii="仿宋" w:hAnsi="仿宋" w:eastAsia="仿宋"/>
                <w:b/>
                <w:szCs w:val="21"/>
              </w:rPr>
              <w:t>产品</w:t>
            </w:r>
            <w:r>
              <w:rPr>
                <w:rFonts w:ascii="仿宋" w:hAnsi="仿宋" w:eastAsia="仿宋"/>
                <w:b/>
                <w:szCs w:val="21"/>
              </w:rPr>
              <w:t>说明书约定的信息披露渠道公告</w:t>
            </w:r>
            <w:r>
              <w:rPr>
                <w:rFonts w:hint="eastAsia" w:ascii="仿宋" w:hAnsi="仿宋" w:eastAsia="仿宋"/>
                <w:bCs/>
                <w:szCs w:val="21"/>
              </w:rPr>
              <w:t>。除本产品说明书另有约定，</w:t>
            </w:r>
            <w:r>
              <w:rPr>
                <w:rFonts w:ascii="仿宋" w:hAnsi="仿宋" w:eastAsia="仿宋"/>
                <w:bCs/>
                <w:szCs w:val="21"/>
              </w:rPr>
              <w:t>投资者不接受调整的，应在公告确定的期限内向</w:t>
            </w:r>
            <w:r>
              <w:rPr>
                <w:rFonts w:hint="eastAsia" w:ascii="仿宋" w:hAnsi="仿宋" w:eastAsia="仿宋"/>
                <w:bCs/>
                <w:szCs w:val="21"/>
              </w:rPr>
              <w:t>对应销售机构</w:t>
            </w:r>
            <w:r>
              <w:rPr>
                <w:rFonts w:ascii="仿宋" w:hAnsi="仿宋" w:eastAsia="仿宋"/>
                <w:bCs/>
                <w:szCs w:val="21"/>
              </w:rPr>
              <w:t>申请提前赎回并办理相关手续。</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ascii="仿宋" w:hAnsi="仿宋" w:eastAsia="仿宋"/>
                <w:bCs/>
                <w:szCs w:val="21"/>
              </w:rPr>
              <w:t>二、华夏</w:t>
            </w:r>
            <w:r>
              <w:rPr>
                <w:rFonts w:hint="eastAsia" w:ascii="仿宋" w:hAnsi="仿宋" w:eastAsia="仿宋"/>
                <w:bCs/>
                <w:szCs w:val="21"/>
              </w:rPr>
              <w:t>理财</w:t>
            </w:r>
            <w:r>
              <w:rPr>
                <w:rFonts w:ascii="仿宋" w:hAnsi="仿宋" w:eastAsia="仿宋"/>
                <w:bCs/>
                <w:szCs w:val="21"/>
              </w:rPr>
              <w:t>提前终止权</w:t>
            </w:r>
          </w:p>
          <w:p>
            <w:pPr>
              <w:autoSpaceDE w:val="0"/>
              <w:autoSpaceDN w:val="0"/>
              <w:adjustRightInd w:val="0"/>
              <w:snapToGrid w:val="0"/>
              <w:spacing w:line="240" w:lineRule="atLeast"/>
              <w:jc w:val="left"/>
              <w:rPr>
                <w:rFonts w:ascii="仿宋" w:hAnsi="仿宋" w:eastAsia="仿宋"/>
                <w:b/>
                <w:bCs/>
                <w:szCs w:val="21"/>
              </w:rPr>
            </w:pPr>
            <w:r>
              <w:rPr>
                <w:rFonts w:ascii="仿宋" w:hAnsi="仿宋" w:eastAsia="仿宋"/>
                <w:bCs/>
                <w:szCs w:val="21"/>
              </w:rPr>
              <w:t xml:space="preserve">    </w:t>
            </w:r>
            <w:r>
              <w:rPr>
                <w:rFonts w:ascii="仿宋" w:hAnsi="仿宋" w:eastAsia="仿宋"/>
                <w:b/>
                <w:bCs/>
                <w:szCs w:val="21"/>
              </w:rPr>
              <w:t>1．出现下列情形，华夏</w:t>
            </w:r>
            <w:r>
              <w:rPr>
                <w:rFonts w:hint="eastAsia" w:ascii="仿宋" w:hAnsi="仿宋" w:eastAsia="仿宋"/>
                <w:b/>
                <w:bCs/>
                <w:szCs w:val="21"/>
              </w:rPr>
              <w:t>理财</w:t>
            </w:r>
            <w:r>
              <w:rPr>
                <w:rFonts w:ascii="仿宋" w:hAnsi="仿宋" w:eastAsia="仿宋"/>
                <w:b/>
                <w:bCs/>
                <w:szCs w:val="21"/>
              </w:rPr>
              <w:t>有权提前终止本理财产品：</w:t>
            </w:r>
          </w:p>
          <w:p>
            <w:pPr>
              <w:autoSpaceDE w:val="0"/>
              <w:autoSpaceDN w:val="0"/>
              <w:adjustRightInd w:val="0"/>
              <w:snapToGrid w:val="0"/>
              <w:spacing w:line="240" w:lineRule="atLeast"/>
              <w:ind w:firstLine="420" w:firstLineChars="200"/>
              <w:jc w:val="left"/>
              <w:rPr>
                <w:rFonts w:ascii="仿宋" w:hAnsi="仿宋" w:eastAsia="仿宋" w:cs="宋体"/>
                <w:bCs/>
                <w:szCs w:val="21"/>
              </w:rPr>
            </w:pPr>
            <w:r>
              <w:rPr>
                <w:rFonts w:hint="eastAsia" w:ascii="仿宋" w:hAnsi="仿宋" w:eastAsia="仿宋" w:cs="宋体"/>
                <w:bCs/>
                <w:szCs w:val="21"/>
              </w:rPr>
              <w:t>①</w:t>
            </w:r>
            <w:r>
              <w:rPr>
                <w:rFonts w:hint="eastAsia" w:ascii="仿宋" w:hAnsi="仿宋" w:eastAsia="仿宋"/>
                <w:bCs/>
                <w:szCs w:val="21"/>
              </w:rPr>
              <w:t xml:space="preserve">当本理财产品份额低于 </w:t>
            </w:r>
            <w:r>
              <w:rPr>
                <w:rFonts w:hint="eastAsia" w:ascii="仿宋" w:hAnsi="仿宋" w:eastAsia="仿宋"/>
                <w:bCs/>
                <w:szCs w:val="21"/>
                <w:u w:val="single"/>
              </w:rPr>
              <w:t>1</w:t>
            </w:r>
            <w:r>
              <w:rPr>
                <w:rFonts w:hint="eastAsia" w:ascii="仿宋" w:hAnsi="仿宋" w:eastAsia="仿宋"/>
                <w:bCs/>
                <w:szCs w:val="21"/>
                <w:u w:val="single"/>
                <w:lang w:val="en-US" w:eastAsia="zh-CN"/>
              </w:rPr>
              <w:t>,</w:t>
            </w:r>
            <w:r>
              <w:rPr>
                <w:rFonts w:hint="eastAsia" w:ascii="仿宋" w:hAnsi="仿宋" w:eastAsia="仿宋"/>
                <w:bCs/>
                <w:szCs w:val="21"/>
                <w:u w:val="single"/>
              </w:rPr>
              <w:t>000万</w:t>
            </w:r>
            <w:r>
              <w:rPr>
                <w:rFonts w:ascii="仿宋" w:hAnsi="仿宋" w:eastAsia="仿宋"/>
                <w:bCs/>
                <w:szCs w:val="21"/>
              </w:rPr>
              <w:t xml:space="preserve"> </w:t>
            </w:r>
            <w:r>
              <w:rPr>
                <w:rFonts w:hint="eastAsia" w:ascii="仿宋" w:hAnsi="仿宋" w:eastAsia="仿宋"/>
                <w:bCs/>
                <w:szCs w:val="21"/>
              </w:rPr>
              <w:t>份时；</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宋体"/>
                <w:bCs/>
                <w:szCs w:val="21"/>
              </w:rPr>
              <w:t>②</w:t>
            </w:r>
            <w:r>
              <w:rPr>
                <w:rFonts w:hint="eastAsia" w:ascii="仿宋" w:hAnsi="仿宋" w:eastAsia="仿宋"/>
                <w:bCs/>
                <w:szCs w:val="21"/>
              </w:rPr>
              <w:t>法律法规、监管规定、国家政策</w:t>
            </w:r>
            <w:r>
              <w:rPr>
                <w:rFonts w:ascii="仿宋" w:hAnsi="仿宋" w:eastAsia="仿宋"/>
                <w:bCs/>
                <w:szCs w:val="21"/>
              </w:rPr>
              <w:t>出现重大调整影响本理财产品正常运作；</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宋体"/>
                <w:bCs/>
                <w:szCs w:val="21"/>
              </w:rPr>
              <w:t>③</w:t>
            </w:r>
            <w:r>
              <w:rPr>
                <w:rFonts w:hint="eastAsia" w:ascii="仿宋" w:hAnsi="仿宋" w:eastAsia="仿宋"/>
                <w:bCs/>
                <w:szCs w:val="21"/>
              </w:rPr>
              <w:t>市场收益率大幅波动，可能或实质影响到产品所能实现的投资收益；</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宋体"/>
                <w:bCs/>
                <w:szCs w:val="21"/>
              </w:rPr>
              <w:t>④</w:t>
            </w:r>
            <w:r>
              <w:rPr>
                <w:rFonts w:ascii="仿宋" w:hAnsi="仿宋" w:eastAsia="仿宋"/>
                <w:bCs/>
                <w:szCs w:val="21"/>
              </w:rPr>
              <w:t>理财资金所投资的</w:t>
            </w:r>
            <w:r>
              <w:rPr>
                <w:rFonts w:hint="eastAsia" w:ascii="仿宋" w:hAnsi="仿宋" w:eastAsia="仿宋"/>
                <w:bCs/>
                <w:szCs w:val="21"/>
              </w:rPr>
              <w:t>相关资产</w:t>
            </w:r>
            <w:r>
              <w:rPr>
                <w:rFonts w:ascii="仿宋" w:hAnsi="仿宋" w:eastAsia="仿宋"/>
                <w:bCs/>
                <w:szCs w:val="21"/>
              </w:rPr>
              <w:t>提前终止</w:t>
            </w:r>
            <w:r>
              <w:rPr>
                <w:rFonts w:hint="eastAsia" w:ascii="仿宋" w:hAnsi="仿宋" w:eastAsia="仿宋"/>
                <w:bCs/>
                <w:szCs w:val="21"/>
              </w:rPr>
              <w:t>，或本理财产品根据投资策略、交易结构触碰提前终止条件；</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⑤</w:t>
            </w:r>
            <w:r>
              <w:rPr>
                <w:rFonts w:ascii="仿宋" w:hAnsi="仿宋" w:eastAsia="仿宋"/>
                <w:bCs/>
                <w:szCs w:val="21"/>
              </w:rPr>
              <w:t>法律法规、监管规定及国家政策规定的其他情形</w:t>
            </w:r>
            <w:r>
              <w:rPr>
                <w:rFonts w:hint="eastAsia" w:ascii="仿宋" w:hAnsi="仿宋" w:eastAsia="仿宋"/>
                <w:bCs/>
                <w:szCs w:val="21"/>
              </w:rPr>
              <w:t>或华夏理财认为需要提前终止的其他情形</w:t>
            </w:r>
            <w:r>
              <w:rPr>
                <w:rFonts w:ascii="仿宋" w:hAnsi="仿宋" w:eastAsia="仿宋"/>
                <w:bCs/>
                <w:szCs w:val="21"/>
              </w:rPr>
              <w:t>。</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ascii="仿宋" w:hAnsi="仿宋" w:eastAsia="仿宋"/>
                <w:bCs/>
                <w:szCs w:val="21"/>
              </w:rPr>
              <w:t>2．华夏</w:t>
            </w:r>
            <w:r>
              <w:rPr>
                <w:rFonts w:hint="eastAsia" w:ascii="仿宋" w:hAnsi="仿宋" w:eastAsia="仿宋"/>
                <w:bCs/>
                <w:szCs w:val="21"/>
              </w:rPr>
              <w:t>理财</w:t>
            </w:r>
            <w:r>
              <w:rPr>
                <w:rFonts w:ascii="仿宋" w:hAnsi="仿宋" w:eastAsia="仿宋"/>
                <w:bCs/>
                <w:szCs w:val="21"/>
              </w:rPr>
              <w:t>提前终止本理财产品的，在提前终止日前3个工作日通过</w:t>
            </w:r>
            <w:r>
              <w:rPr>
                <w:rFonts w:hint="eastAsia" w:ascii="仿宋" w:hAnsi="仿宋" w:eastAsia="仿宋"/>
                <w:bCs/>
                <w:szCs w:val="21"/>
              </w:rPr>
              <w:t>本产品说明书约定的信息披露渠道</w:t>
            </w:r>
            <w:r>
              <w:rPr>
                <w:rFonts w:ascii="仿宋" w:hAnsi="仿宋" w:eastAsia="仿宋"/>
                <w:bCs/>
                <w:szCs w:val="21"/>
              </w:rPr>
              <w:t>公告</w:t>
            </w:r>
            <w:r>
              <w:rPr>
                <w:rFonts w:hint="eastAsia" w:ascii="仿宋" w:hAnsi="仿宋" w:eastAsia="仿宋"/>
                <w:bCs/>
                <w:szCs w:val="21"/>
              </w:rPr>
              <w:t>相关信息。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税款</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根据法律法规规定，本理财产品在资产管理、运营、处置过程中产生收入应缴纳和承担税收和规费的，由管理人直接从理财资产中扣付缴纳。</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理财收益的应纳税款由投资者自行申报及缴纳，但若根据法律法规等规定或税务等国家机关的命令或要求，华夏</w:t>
            </w:r>
            <w:r>
              <w:rPr>
                <w:rFonts w:hint="eastAsia" w:ascii="仿宋" w:hAnsi="仿宋" w:eastAsia="仿宋"/>
                <w:bCs/>
                <w:szCs w:val="21"/>
              </w:rPr>
              <w:t>理财</w:t>
            </w:r>
            <w:r>
              <w:rPr>
                <w:rFonts w:ascii="仿宋" w:hAnsi="仿宋" w:eastAsia="仿宋"/>
                <w:bCs/>
                <w:szCs w:val="21"/>
              </w:rPr>
              <w:t>有义务代扣代缴投资者承担的税费时，华夏</w:t>
            </w:r>
            <w:r>
              <w:rPr>
                <w:rFonts w:hint="eastAsia" w:ascii="仿宋" w:hAnsi="仿宋" w:eastAsia="仿宋"/>
                <w:bCs/>
                <w:szCs w:val="21"/>
              </w:rPr>
              <w:t>理财</w:t>
            </w:r>
            <w:r>
              <w:rPr>
                <w:rFonts w:ascii="仿宋" w:hAnsi="仿宋" w:eastAsia="仿宋"/>
                <w:bCs/>
                <w:szCs w:val="21"/>
              </w:rPr>
              <w:t>将</w:t>
            </w:r>
            <w:r>
              <w:rPr>
                <w:rFonts w:hint="eastAsia" w:ascii="仿宋" w:hAnsi="仿宋" w:eastAsia="仿宋"/>
                <w:bCs/>
                <w:szCs w:val="21"/>
              </w:rPr>
              <w:t>予以</w:t>
            </w:r>
            <w:r>
              <w:rPr>
                <w:rFonts w:ascii="仿宋" w:hAnsi="仿宋" w:eastAsia="仿宋"/>
                <w:bCs/>
                <w:szCs w:val="21"/>
              </w:rPr>
              <w:t>代扣代缴。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cs="宋体"/>
                <w:color w:val="000000"/>
                <w:kern w:val="0"/>
                <w:szCs w:val="21"/>
              </w:rPr>
            </w:pPr>
            <w:r>
              <w:rPr>
                <w:rFonts w:ascii="仿宋" w:hAnsi="仿宋" w:eastAsia="仿宋" w:cs="宋体"/>
                <w:color w:val="000000"/>
                <w:kern w:val="0"/>
                <w:szCs w:val="21"/>
              </w:rPr>
              <w:t>其他规定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（1</w:t>
            </w:r>
            <w:r>
              <w:rPr>
                <w:rFonts w:hint="eastAsia" w:ascii="仿宋" w:hAnsi="仿宋" w:eastAsia="仿宋"/>
                <w:bCs/>
                <w:szCs w:val="21"/>
              </w:rPr>
              <w:t>）</w:t>
            </w:r>
            <w:r>
              <w:rPr>
                <w:rFonts w:hint="eastAsia" w:ascii="仿宋" w:hAnsi="仿宋" w:eastAsia="仿宋" w:cs="宋体"/>
                <w:kern w:val="0"/>
                <w:szCs w:val="21"/>
              </w:rPr>
              <w:t>由华夏理财销售的，募集期认购资金</w:t>
            </w:r>
            <w:r>
              <w:rPr>
                <w:rFonts w:ascii="仿宋" w:hAnsi="仿宋" w:eastAsia="仿宋" w:cs="宋体"/>
                <w:kern w:val="0"/>
                <w:szCs w:val="21"/>
              </w:rPr>
              <w:t>计息规则</w:t>
            </w:r>
            <w:r>
              <w:rPr>
                <w:rFonts w:hint="eastAsia" w:ascii="仿宋" w:hAnsi="仿宋" w:eastAsia="仿宋" w:cs="宋体"/>
                <w:kern w:val="0"/>
                <w:szCs w:val="21"/>
              </w:rPr>
              <w:t>以华夏理财渠道披露的理财</w:t>
            </w:r>
            <w:r>
              <w:rPr>
                <w:rFonts w:ascii="仿宋" w:hAnsi="仿宋" w:eastAsia="仿宋" w:cs="宋体"/>
                <w:kern w:val="0"/>
                <w:szCs w:val="21"/>
              </w:rPr>
              <w:t>产品销售协议书</w:t>
            </w:r>
            <w:r>
              <w:rPr>
                <w:rFonts w:hint="eastAsia" w:ascii="仿宋" w:hAnsi="仿宋" w:eastAsia="仿宋" w:cs="宋体"/>
                <w:kern w:val="0"/>
                <w:szCs w:val="21"/>
              </w:rPr>
              <w:t>约定为准。</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（2</w:t>
            </w:r>
            <w:r>
              <w:rPr>
                <w:rFonts w:hint="eastAsia" w:ascii="仿宋" w:hAnsi="仿宋" w:eastAsia="仿宋"/>
                <w:bCs/>
                <w:szCs w:val="21"/>
              </w:rPr>
              <w:t>）</w:t>
            </w:r>
            <w:r>
              <w:rPr>
                <w:rFonts w:hint="eastAsia" w:ascii="仿宋" w:hAnsi="仿宋" w:eastAsia="仿宋" w:cs="宋体"/>
                <w:kern w:val="0"/>
                <w:szCs w:val="21"/>
              </w:rPr>
              <w:t>由华夏银行销售的，募集期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w:t>
            </w:r>
            <w:r>
              <w:rPr>
                <w:rFonts w:hint="eastAsia" w:ascii="仿宋" w:hAnsi="仿宋" w:eastAsia="仿宋" w:cs="宋体"/>
                <w:kern w:val="0"/>
                <w:szCs w:val="21"/>
              </w:rPr>
              <w:t>按期间每日挂牌</w:t>
            </w:r>
            <w:r>
              <w:rPr>
                <w:rFonts w:ascii="仿宋" w:hAnsi="仿宋" w:eastAsia="仿宋" w:cs="宋体"/>
                <w:kern w:val="0"/>
                <w:szCs w:val="21"/>
              </w:rPr>
              <w:t>活期存款利率计</w:t>
            </w:r>
            <w:r>
              <w:rPr>
                <w:rFonts w:hint="eastAsia" w:ascii="仿宋" w:hAnsi="仿宋" w:eastAsia="仿宋" w:cs="宋体"/>
                <w:kern w:val="0"/>
                <w:szCs w:val="21"/>
              </w:rPr>
              <w:t>算利</w:t>
            </w:r>
            <w:r>
              <w:rPr>
                <w:rFonts w:ascii="仿宋" w:hAnsi="仿宋" w:eastAsia="仿宋" w:cs="宋体"/>
                <w:kern w:val="0"/>
                <w:szCs w:val="21"/>
              </w:rPr>
              <w:t>息，且该利息不计入认购本金</w:t>
            </w:r>
            <w:r>
              <w:rPr>
                <w:rFonts w:hint="eastAsia" w:ascii="仿宋" w:hAnsi="仿宋" w:eastAsia="仿宋" w:cs="宋体"/>
                <w:kern w:val="0"/>
                <w:szCs w:val="21"/>
              </w:rPr>
              <w:t>。</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（3</w:t>
            </w:r>
            <w:r>
              <w:rPr>
                <w:rFonts w:hint="eastAsia" w:ascii="仿宋" w:hAnsi="仿宋" w:eastAsia="仿宋"/>
                <w:bCs/>
                <w:szCs w:val="21"/>
              </w:rPr>
              <w:t>）</w:t>
            </w:r>
            <w:r>
              <w:rPr>
                <w:rFonts w:hint="eastAsia" w:ascii="仿宋" w:hAnsi="仿宋" w:eastAsia="仿宋" w:cs="宋体"/>
                <w:kern w:val="0"/>
                <w:szCs w:val="21"/>
              </w:rPr>
              <w:t>由</w:t>
            </w:r>
            <w:r>
              <w:rPr>
                <w:rFonts w:ascii="仿宋" w:hAnsi="仿宋" w:eastAsia="仿宋" w:cs="宋体"/>
                <w:kern w:val="0"/>
                <w:szCs w:val="21"/>
              </w:rPr>
              <w:t>代销机构</w:t>
            </w:r>
            <w:r>
              <w:rPr>
                <w:rFonts w:hint="eastAsia" w:ascii="仿宋" w:hAnsi="仿宋" w:eastAsia="仿宋" w:cs="宋体"/>
                <w:kern w:val="0"/>
                <w:szCs w:val="21"/>
              </w:rPr>
              <w:t>销售</w:t>
            </w:r>
            <w:r>
              <w:rPr>
                <w:rFonts w:ascii="仿宋" w:hAnsi="仿宋" w:eastAsia="仿宋" w:cs="宋体"/>
                <w:kern w:val="0"/>
                <w:szCs w:val="21"/>
              </w:rPr>
              <w:t>的，</w:t>
            </w:r>
            <w:r>
              <w:rPr>
                <w:rFonts w:hint="eastAsia" w:ascii="仿宋" w:hAnsi="仿宋" w:eastAsia="仿宋" w:cs="宋体"/>
                <w:kern w:val="0"/>
                <w:szCs w:val="21"/>
              </w:rPr>
              <w:t>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资金按照代销机构</w:t>
            </w:r>
            <w:r>
              <w:rPr>
                <w:rFonts w:hint="eastAsia" w:ascii="仿宋" w:hAnsi="仿宋" w:eastAsia="仿宋" w:cs="宋体"/>
                <w:kern w:val="0"/>
                <w:szCs w:val="21"/>
              </w:rPr>
              <w:t>与</w:t>
            </w:r>
            <w:r>
              <w:rPr>
                <w:rFonts w:ascii="仿宋" w:hAnsi="仿宋" w:eastAsia="仿宋" w:cs="宋体"/>
                <w:kern w:val="0"/>
                <w:szCs w:val="21"/>
              </w:rPr>
              <w:t>投资人约定的</w:t>
            </w:r>
            <w:r>
              <w:rPr>
                <w:rFonts w:hint="eastAsia" w:ascii="仿宋" w:hAnsi="仿宋" w:eastAsia="仿宋" w:cs="宋体"/>
                <w:kern w:val="0"/>
                <w:szCs w:val="21"/>
              </w:rPr>
              <w:t>计息方式执行</w:t>
            </w:r>
            <w:r>
              <w:rPr>
                <w:rFonts w:ascii="仿宋" w:hAnsi="仿宋" w:eastAsia="仿宋" w:cs="宋体"/>
                <w:kern w:val="0"/>
                <w:szCs w:val="21"/>
              </w:rPr>
              <w:t>。</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（4</w:t>
            </w:r>
            <w:r>
              <w:rPr>
                <w:rFonts w:hint="eastAsia" w:ascii="仿宋" w:hAnsi="仿宋" w:eastAsia="仿宋"/>
                <w:bCs/>
                <w:szCs w:val="21"/>
              </w:rPr>
              <w:t>）</w:t>
            </w:r>
            <w:r>
              <w:rPr>
                <w:rFonts w:hint="eastAsia" w:ascii="仿宋" w:hAnsi="仿宋" w:eastAsia="仿宋" w:cs="宋体"/>
                <w:kern w:val="0"/>
                <w:szCs w:val="21"/>
              </w:rPr>
              <w:t>理财产品赎回申请/到期/终止日（不含）至资金到账日（不含）之间，投资者资金不计存款利息及理财收益。</w:t>
            </w:r>
          </w:p>
        </w:tc>
      </w:tr>
    </w:tbl>
    <w:p>
      <w:pPr>
        <w:pStyle w:val="22"/>
        <w:snapToGrid w:val="0"/>
        <w:spacing w:after="156" w:afterLines="50" w:line="400" w:lineRule="exact"/>
        <w:ind w:firstLine="482" w:firstLineChars="200"/>
        <w:jc w:val="both"/>
        <w:rPr>
          <w:rFonts w:ascii="Times New Roman" w:eastAsia="黑体" w:cs="Times New Roman"/>
          <w:b/>
          <w:color w:val="auto"/>
        </w:rPr>
      </w:pPr>
    </w:p>
    <w:p>
      <w:pPr>
        <w:pStyle w:val="22"/>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二、</w:t>
      </w:r>
      <w:r>
        <w:rPr>
          <w:rFonts w:ascii="Times New Roman" w:eastAsia="黑体" w:cs="Times New Roman"/>
          <w:b/>
          <w:color w:val="auto"/>
        </w:rPr>
        <w:t>投资对象</w:t>
      </w:r>
    </w:p>
    <w:p>
      <w:pPr>
        <w:widowControl/>
        <w:adjustRightInd w:val="0"/>
        <w:snapToGrid w:val="0"/>
        <w:spacing w:line="276" w:lineRule="auto"/>
        <w:ind w:firstLine="480" w:firstLineChars="200"/>
        <w:contextualSpacing/>
        <w:rPr>
          <w:rFonts w:hint="eastAsia" w:ascii="仿宋" w:hAnsi="仿宋" w:eastAsia="仿宋" w:cs="宋体"/>
          <w:color w:val="000000"/>
          <w:kern w:val="0"/>
          <w:sz w:val="24"/>
        </w:rPr>
      </w:pPr>
      <w:r>
        <w:rPr>
          <w:rFonts w:hint="eastAsia" w:ascii="仿宋" w:hAnsi="仿宋" w:eastAsia="仿宋" w:cs="宋体"/>
          <w:color w:val="000000"/>
          <w:kern w:val="0"/>
          <w:sz w:val="24"/>
        </w:rPr>
        <w:t>本产品100%投资于固定收益类金融工具，包括货币市场工具、标准化债权及其他符合监管要求的固定收益类金融资产。</w:t>
      </w:r>
    </w:p>
    <w:p>
      <w:pPr>
        <w:widowControl/>
        <w:adjustRightInd w:val="0"/>
        <w:snapToGrid w:val="0"/>
        <w:spacing w:line="276" w:lineRule="auto"/>
        <w:ind w:firstLine="480" w:firstLineChars="200"/>
        <w:contextualSpacing/>
        <w:rPr>
          <w:rFonts w:hint="eastAsia" w:ascii="仿宋" w:hAnsi="仿宋" w:eastAsia="仿宋" w:cs="宋体"/>
          <w:color w:val="000000"/>
          <w:kern w:val="0"/>
          <w:sz w:val="24"/>
        </w:rPr>
      </w:pPr>
      <w:r>
        <w:rPr>
          <w:rFonts w:hint="eastAsia" w:ascii="仿宋" w:hAnsi="仿宋" w:eastAsia="仿宋" w:cs="宋体"/>
          <w:color w:val="000000"/>
          <w:kern w:val="0"/>
          <w:sz w:val="24"/>
        </w:rPr>
        <w:t>本理财产品可以按照国务院金融管理部门相关规定开展回购业务，回购业务中可接受押品的资质要求与本说明书约定的投资范围保持一致。</w:t>
      </w:r>
    </w:p>
    <w:p>
      <w:pPr>
        <w:widowControl/>
        <w:adjustRightInd w:val="0"/>
        <w:snapToGrid w:val="0"/>
        <w:spacing w:line="276" w:lineRule="auto"/>
        <w:ind w:firstLine="480" w:firstLineChars="200"/>
        <w:contextualSpacing/>
        <w:rPr>
          <w:rFonts w:hint="eastAsia" w:ascii="仿宋" w:hAnsi="仿宋" w:eastAsia="仿宋" w:cs="宋体"/>
          <w:color w:val="000000"/>
          <w:kern w:val="0"/>
          <w:sz w:val="24"/>
        </w:rPr>
      </w:pPr>
      <w:r>
        <w:rPr>
          <w:rFonts w:hint="eastAsia" w:ascii="仿宋" w:hAnsi="仿宋" w:eastAsia="仿宋" w:cs="宋体"/>
          <w:color w:val="000000"/>
          <w:kern w:val="0"/>
          <w:sz w:val="24"/>
        </w:rPr>
        <w:t>本产品可通过信托、证券、基金、期货、保险资产管理机构等依法设立的资产管理产品以及其他符合国家相关政策、法律法规的投资渠道和方式实现对上述投资品种的投资。</w:t>
      </w:r>
    </w:p>
    <w:p>
      <w:pPr>
        <w:widowControl/>
        <w:adjustRightInd w:val="0"/>
        <w:snapToGrid w:val="0"/>
        <w:spacing w:line="276" w:lineRule="auto"/>
        <w:ind w:firstLine="480" w:firstLineChars="200"/>
        <w:contextualSpacing/>
        <w:rPr>
          <w:rFonts w:hint="eastAsia" w:ascii="仿宋" w:hAnsi="仿宋" w:eastAsia="仿宋" w:cs="宋体"/>
          <w:color w:val="000000"/>
          <w:kern w:val="0"/>
          <w:sz w:val="24"/>
        </w:rPr>
      </w:pPr>
      <w:r>
        <w:rPr>
          <w:rFonts w:hint="eastAsia" w:ascii="仿宋" w:hAnsi="仿宋" w:eastAsia="仿宋" w:cs="宋体"/>
          <w:color w:val="000000"/>
          <w:kern w:val="0"/>
          <w:sz w:val="24"/>
        </w:rPr>
        <w:t>其中货币市场工具包括但不限于银行存款、大额存单、同业存单（CD）、短期融资券、超短期融资券、剩余期限在397天以内（含397天）的债券、期限在一年以内（含一年）的债券回购、期限在一年以内（含一年）的中央银行票据以及</w:t>
      </w:r>
      <w:r>
        <w:rPr>
          <w:rFonts w:hint="eastAsia" w:ascii="仿宋" w:hAnsi="仿宋" w:eastAsia="仿宋" w:cs="宋体"/>
          <w:color w:val="000000"/>
          <w:kern w:val="0"/>
          <w:sz w:val="24"/>
          <w:lang w:val="en-US" w:eastAsia="zh-CN"/>
        </w:rPr>
        <w:t>监管机构</w:t>
      </w:r>
      <w:r>
        <w:rPr>
          <w:rFonts w:hint="eastAsia" w:ascii="仿宋" w:hAnsi="仿宋" w:eastAsia="仿宋" w:cs="宋体"/>
          <w:color w:val="000000"/>
          <w:kern w:val="0"/>
          <w:sz w:val="24"/>
        </w:rPr>
        <w:t>认可的其他具有良好流动性的金融工具；</w:t>
      </w:r>
    </w:p>
    <w:p>
      <w:pPr>
        <w:widowControl/>
        <w:adjustRightInd w:val="0"/>
        <w:snapToGrid w:val="0"/>
        <w:spacing w:line="276" w:lineRule="auto"/>
        <w:ind w:firstLine="480" w:firstLineChars="200"/>
        <w:contextualSpacing/>
        <w:rPr>
          <w:rFonts w:hint="eastAsia" w:ascii="仿宋" w:hAnsi="仿宋" w:eastAsia="仿宋" w:cs="宋体"/>
          <w:color w:val="000000"/>
          <w:kern w:val="0"/>
          <w:sz w:val="24"/>
        </w:rPr>
      </w:pPr>
      <w:r>
        <w:rPr>
          <w:rFonts w:hint="eastAsia" w:ascii="仿宋" w:hAnsi="仿宋" w:eastAsia="仿宋" w:cs="宋体"/>
          <w:color w:val="000000"/>
          <w:kern w:val="0"/>
          <w:sz w:val="24"/>
        </w:rPr>
        <w:t>标准化债权资产包括但不限于国债、中央银行票据、地方政府债券、政府支持机构债券、金融债券、非金融企业债务融资工具、公司债券、企业债券、国际机构债券、同业存单、信贷资产支持证券、资产支持票据、证券交易所挂牌交易的资产支持证券、货币市场基金、债券型公募证券投资基金，以及《标准化债权类资产认定规则》认定的标准化债权类资产等；</w:t>
      </w:r>
    </w:p>
    <w:p>
      <w:pPr>
        <w:widowControl/>
        <w:adjustRightInd w:val="0"/>
        <w:snapToGrid w:val="0"/>
        <w:spacing w:line="276" w:lineRule="auto"/>
        <w:ind w:firstLine="482" w:firstLineChars="200"/>
        <w:contextualSpacing/>
        <w:rPr>
          <w:rFonts w:ascii="仿宋" w:hAnsi="仿宋" w:eastAsia="仿宋" w:cs="宋体"/>
          <w:color w:val="000000"/>
          <w:kern w:val="0"/>
          <w:sz w:val="24"/>
        </w:rPr>
      </w:pPr>
      <w:r>
        <w:rPr>
          <w:rFonts w:hint="eastAsia" w:ascii="仿宋" w:hAnsi="仿宋" w:eastAsia="仿宋" w:cs="宋体"/>
          <w:b/>
          <w:color w:val="000000"/>
          <w:kern w:val="0"/>
          <w:sz w:val="24"/>
        </w:rPr>
        <w:t>本理财产品投资下列资产合计不低于理财产品资产净值80%：存款类资产、同业存单、逆回购、货币基金等资产，其中存款类资产、同业存单类投资不低于50%。</w:t>
      </w:r>
    </w:p>
    <w:p>
      <w:pPr>
        <w:widowControl/>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产品的投资范围可能随国家法律法规及监管政策的变化而调整，如法律法规或监管机构以后允许理财产品投资其他品种，可在公告后，将其纳入投资范围，投资比例将遵循法律法规或相关规定。</w:t>
      </w:r>
    </w:p>
    <w:p>
      <w:pPr>
        <w:widowControl/>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各类资产投资比例如下：</w:t>
      </w:r>
    </w:p>
    <w:tbl>
      <w:tblPr>
        <w:tblStyle w:val="11"/>
        <w:tblW w:w="8063" w:type="dxa"/>
        <w:jc w:val="center"/>
        <w:tblCellSpacing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2884"/>
        <w:gridCol w:w="51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47" w:hRule="atLeast"/>
          <w:tblCellSpacing w:w="0" w:type="dxa"/>
          <w:jc w:val="center"/>
        </w:trPr>
        <w:tc>
          <w:tcPr>
            <w:tcW w:w="2884" w:type="dxa"/>
            <w:vAlign w:val="center"/>
          </w:tcPr>
          <w:p>
            <w:pPr>
              <w:adjustRightInd w:val="0"/>
              <w:snapToGrid w:val="0"/>
              <w:jc w:val="center"/>
              <w:rPr>
                <w:rFonts w:eastAsia="仿宋"/>
                <w:color w:val="000000"/>
                <w:kern w:val="0"/>
                <w:sz w:val="24"/>
              </w:rPr>
            </w:pPr>
            <w:r>
              <w:rPr>
                <w:rFonts w:hint="eastAsia" w:eastAsia="仿宋"/>
                <w:color w:val="000000"/>
                <w:kern w:val="0"/>
                <w:sz w:val="24"/>
              </w:rPr>
              <w:t>资产</w:t>
            </w:r>
            <w:r>
              <w:rPr>
                <w:rFonts w:eastAsia="仿宋"/>
                <w:color w:val="000000"/>
                <w:kern w:val="0"/>
                <w:sz w:val="24"/>
              </w:rPr>
              <w:t>类别</w:t>
            </w:r>
          </w:p>
        </w:tc>
        <w:tc>
          <w:tcPr>
            <w:tcW w:w="5179" w:type="dxa"/>
            <w:vAlign w:val="center"/>
          </w:tcPr>
          <w:p>
            <w:pPr>
              <w:adjustRightInd w:val="0"/>
              <w:snapToGrid w:val="0"/>
              <w:jc w:val="center"/>
              <w:rPr>
                <w:rFonts w:eastAsia="仿宋"/>
                <w:color w:val="000000"/>
                <w:kern w:val="0"/>
                <w:sz w:val="24"/>
              </w:rPr>
            </w:pPr>
            <w:r>
              <w:rPr>
                <w:rFonts w:eastAsia="仿宋"/>
                <w:color w:val="000000"/>
                <w:kern w:val="0"/>
                <w:sz w:val="24"/>
              </w:rPr>
              <w:t>投资比例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47" w:hRule="atLeast"/>
          <w:tblCellSpacing w:w="0" w:type="dxa"/>
          <w:jc w:val="center"/>
        </w:trPr>
        <w:tc>
          <w:tcPr>
            <w:tcW w:w="2884" w:type="dxa"/>
            <w:vAlign w:val="center"/>
          </w:tcPr>
          <w:p>
            <w:pPr>
              <w:adjustRightInd w:val="0"/>
              <w:snapToGrid w:val="0"/>
              <w:jc w:val="center"/>
              <w:rPr>
                <w:rFonts w:eastAsia="仿宋"/>
                <w:color w:val="000000"/>
                <w:kern w:val="0"/>
                <w:sz w:val="24"/>
              </w:rPr>
            </w:pPr>
            <w:r>
              <w:rPr>
                <w:rFonts w:hint="eastAsia" w:ascii="仿宋" w:hAnsi="仿宋" w:eastAsia="仿宋" w:cs="宋体"/>
                <w:color w:val="000000"/>
                <w:kern w:val="0"/>
                <w:sz w:val="24"/>
              </w:rPr>
              <w:t>货币市场工具</w:t>
            </w:r>
          </w:p>
        </w:tc>
        <w:tc>
          <w:tcPr>
            <w:tcW w:w="5179" w:type="dxa"/>
            <w:vAlign w:val="center"/>
          </w:tcPr>
          <w:p>
            <w:pPr>
              <w:adjustRightInd w:val="0"/>
              <w:snapToGrid w:val="0"/>
              <w:jc w:val="center"/>
              <w:rPr>
                <w:rFonts w:eastAsia="仿宋"/>
                <w:color w:val="000000"/>
                <w:kern w:val="0"/>
                <w:sz w:val="24"/>
              </w:rPr>
            </w:pPr>
            <w:r>
              <w:rPr>
                <w:rFonts w:eastAsia="仿宋"/>
                <w:color w:val="000000"/>
                <w:kern w:val="0"/>
                <w:sz w:val="24"/>
              </w:rPr>
              <w:t>0%-100%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11" w:hRule="atLeast"/>
          <w:tblCellSpacing w:w="0" w:type="dxa"/>
          <w:jc w:val="center"/>
        </w:trPr>
        <w:tc>
          <w:tcPr>
            <w:tcW w:w="2884" w:type="dxa"/>
            <w:vAlign w:val="center"/>
          </w:tcPr>
          <w:p>
            <w:pPr>
              <w:adjustRightInd w:val="0"/>
              <w:snapToGrid w:val="0"/>
              <w:jc w:val="center"/>
              <w:rPr>
                <w:rFonts w:eastAsia="仿宋"/>
                <w:color w:val="000000"/>
                <w:kern w:val="0"/>
                <w:sz w:val="24"/>
              </w:rPr>
            </w:pPr>
            <w:r>
              <w:rPr>
                <w:rFonts w:hint="eastAsia" w:ascii="仿宋" w:hAnsi="仿宋" w:eastAsia="仿宋" w:cs="宋体"/>
                <w:color w:val="000000"/>
                <w:kern w:val="0"/>
                <w:sz w:val="24"/>
              </w:rPr>
              <w:t>标准化债权</w:t>
            </w:r>
            <w:r>
              <w:rPr>
                <w:rFonts w:hint="eastAsia" w:eastAsia="仿宋"/>
                <w:color w:val="000000"/>
                <w:kern w:val="0"/>
                <w:sz w:val="24"/>
              </w:rPr>
              <w:t>类</w:t>
            </w:r>
            <w:r>
              <w:rPr>
                <w:rFonts w:hint="eastAsia" w:eastAsia="仿宋"/>
                <w:color w:val="000000"/>
                <w:kern w:val="0"/>
                <w:sz w:val="24"/>
                <w:lang w:val="en-US" w:eastAsia="zh-CN"/>
              </w:rPr>
              <w:t>资产</w:t>
            </w:r>
          </w:p>
        </w:tc>
        <w:tc>
          <w:tcPr>
            <w:tcW w:w="5179" w:type="dxa"/>
            <w:vAlign w:val="center"/>
          </w:tcPr>
          <w:p>
            <w:pPr>
              <w:adjustRightInd w:val="0"/>
              <w:snapToGrid w:val="0"/>
              <w:jc w:val="center"/>
              <w:rPr>
                <w:rFonts w:eastAsia="仿宋"/>
                <w:color w:val="000000"/>
                <w:kern w:val="0"/>
                <w:sz w:val="24"/>
              </w:rPr>
            </w:pPr>
            <w:r>
              <w:rPr>
                <w:rFonts w:eastAsia="仿宋"/>
                <w:color w:val="000000"/>
                <w:kern w:val="0"/>
                <w:sz w:val="24"/>
              </w:rPr>
              <w:t>0%-100%</w:t>
            </w:r>
          </w:p>
        </w:tc>
      </w:tr>
    </w:tbl>
    <w:p>
      <w:pPr>
        <w:widowControl/>
        <w:adjustRightInd w:val="0"/>
        <w:snapToGrid w:val="0"/>
        <w:spacing w:line="276" w:lineRule="auto"/>
        <w:ind w:firstLine="482" w:firstLineChars="200"/>
        <w:contextualSpacing/>
        <w:rPr>
          <w:rFonts w:hint="eastAsia" w:ascii="仿宋" w:hAnsi="仿宋" w:eastAsia="仿宋" w:cs="宋体"/>
          <w:b/>
          <w:bCs/>
          <w:color w:val="000000"/>
          <w:kern w:val="0"/>
          <w:sz w:val="24"/>
        </w:rPr>
      </w:pPr>
      <w:r>
        <w:rPr>
          <w:rFonts w:hint="eastAsia" w:ascii="仿宋" w:hAnsi="仿宋" w:eastAsia="仿宋" w:cs="宋体"/>
          <w:b/>
          <w:bCs/>
          <w:color w:val="000000"/>
          <w:kern w:val="0"/>
          <w:sz w:val="24"/>
        </w:rPr>
        <w:t>本理财产品可以按照监管部门相关规定开展回购业务。</w:t>
      </w:r>
    </w:p>
    <w:p>
      <w:pPr>
        <w:widowControl/>
        <w:adjustRightInd w:val="0"/>
        <w:snapToGrid w:val="0"/>
        <w:spacing w:line="276" w:lineRule="auto"/>
        <w:ind w:firstLine="482" w:firstLineChars="200"/>
        <w:contextualSpacing/>
        <w:rPr>
          <w:rFonts w:hint="eastAsia" w:ascii="仿宋" w:hAnsi="仿宋" w:eastAsia="仿宋" w:cs="宋体"/>
          <w:b/>
          <w:bCs/>
          <w:color w:val="000000"/>
          <w:kern w:val="0"/>
          <w:sz w:val="24"/>
        </w:rPr>
      </w:pP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合作机构：</w:t>
      </w:r>
      <w:r>
        <w:rPr>
          <w:rFonts w:hint="eastAsia" w:ascii="仿宋" w:hAnsi="仿宋" w:eastAsia="仿宋" w:cs="宋体"/>
          <w:kern w:val="0"/>
          <w:sz w:val="24"/>
        </w:rPr>
        <w:t>本理财产品在运作过程中可根据需要选择投资合作机构，投资合作机构指理财产品所投资资产管理产品的发行机构、根据合同约定从事理财产品受托投资的机构以及与理财产品投资管理相关的投资顾问等机构。投资合作机构的主要职责为进行受托资金的投资管理，根据合同约定从事受托投资或提供投资顾问等服务，具体职责以管理人与投资合作机构签署的合同为准。</w:t>
      </w:r>
    </w:p>
    <w:p>
      <w:pPr>
        <w:widowControl/>
        <w:adjustRightInd w:val="0"/>
        <w:snapToGrid w:val="0"/>
        <w:spacing w:line="276" w:lineRule="auto"/>
        <w:ind w:firstLine="482" w:firstLineChars="200"/>
        <w:contextualSpacing/>
        <w:rPr>
          <w:rFonts w:ascii="仿宋" w:hAnsi="仿宋" w:eastAsia="仿宋" w:cs="宋体"/>
          <w:b/>
          <w:color w:val="000000"/>
          <w:kern w:val="0"/>
          <w:sz w:val="24"/>
        </w:rPr>
      </w:pPr>
      <w:r>
        <w:rPr>
          <w:rFonts w:hint="eastAsia" w:ascii="仿宋" w:hAnsi="仿宋" w:eastAsia="仿宋" w:cs="宋体"/>
          <w:b/>
          <w:bCs/>
          <w:color w:val="000000"/>
          <w:kern w:val="0"/>
          <w:sz w:val="24"/>
        </w:rPr>
        <w:t>如资产类别及投资比例发生调整，管理人将于调整事项生效前</w:t>
      </w:r>
      <w:r>
        <w:rPr>
          <w:rFonts w:ascii="仿宋" w:hAnsi="仿宋" w:eastAsia="仿宋" w:cs="宋体"/>
          <w:b/>
          <w:bCs/>
          <w:color w:val="000000"/>
          <w:kern w:val="0"/>
          <w:sz w:val="24"/>
        </w:rPr>
        <w:t>3</w:t>
      </w:r>
      <w:r>
        <w:rPr>
          <w:rFonts w:hint="eastAsia" w:ascii="仿宋" w:hAnsi="仿宋" w:eastAsia="仿宋" w:cs="宋体"/>
          <w:b/>
          <w:bCs/>
          <w:color w:val="000000"/>
          <w:kern w:val="0"/>
          <w:sz w:val="24"/>
        </w:rPr>
        <w:t>个工作日通过</w:t>
      </w:r>
      <w:r>
        <w:rPr>
          <w:rFonts w:hint="eastAsia" w:ascii="仿宋" w:hAnsi="仿宋" w:eastAsia="仿宋" w:cs="仿宋"/>
          <w:b/>
          <w:bCs/>
          <w:color w:val="000000"/>
          <w:kern w:val="0"/>
          <w:sz w:val="24"/>
        </w:rPr>
        <w:t>本产品说明书约定的信息披露渠道</w:t>
      </w:r>
      <w:r>
        <w:rPr>
          <w:rFonts w:hint="eastAsia" w:ascii="仿宋" w:hAnsi="仿宋" w:eastAsia="仿宋" w:cs="宋体"/>
          <w:b/>
          <w:bCs/>
          <w:color w:val="000000"/>
          <w:kern w:val="0"/>
          <w:sz w:val="24"/>
        </w:rPr>
        <w:t>予以公告</w:t>
      </w:r>
      <w:r>
        <w:rPr>
          <w:rFonts w:hint="eastAsia" w:ascii="仿宋" w:hAnsi="仿宋" w:eastAsia="仿宋" w:cs="宋体"/>
          <w:color w:val="000000"/>
          <w:kern w:val="0"/>
          <w:sz w:val="24"/>
        </w:rPr>
        <w:t>。若本理财产品的投资人不接受上述调整，则应在公告规定时间内提前赎回本理财产品；</w:t>
      </w:r>
      <w:r>
        <w:rPr>
          <w:rFonts w:hint="eastAsia" w:ascii="仿宋" w:hAnsi="仿宋" w:eastAsia="仿宋" w:cs="宋体"/>
          <w:b/>
          <w:color w:val="000000"/>
          <w:kern w:val="0"/>
          <w:sz w:val="24"/>
        </w:rPr>
        <w:t>若本理财产品投资人未在公告规定时间内提前赎回本理财产品，则视为其对相关调整无异议且同意在调整后继续持有本理财产品。</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非因管理人主观因素导致本理财产品突破上述投资比例限制的，管理人应当在所投资的</w:t>
      </w:r>
      <w:r>
        <w:rPr>
          <w:rFonts w:hint="eastAsia" w:ascii="仿宋" w:hAnsi="仿宋" w:eastAsia="仿宋"/>
          <w:sz w:val="24"/>
        </w:rPr>
        <w:t>流动性受限资产可出售、可转让或者恢复交易的15</w:t>
      </w:r>
      <w:r>
        <w:rPr>
          <w:rFonts w:hint="eastAsia" w:ascii="仿宋" w:hAnsi="仿宋" w:eastAsia="仿宋" w:cs="宋体"/>
          <w:color w:val="000000"/>
          <w:kern w:val="0"/>
          <w:sz w:val="24"/>
        </w:rPr>
        <w:t>个工作日内将本理财产品所投资资产调整至上述投资比例范围内，监管规定的特殊情形除外。流动性受限资产，是指由于法律法规、监管、合同或操作障碍等原因无法以合理价格予以变现的资产，包括到期日在10个工作日以上的逆回购与银行定期存款（含协议约定有条件提前支取的银行存款）、距赎回日在10个工作日以上的资产管理产品、停牌股票、流通受限的新股及非公开发行股票、资产支持证券（票据），因发行人债务违约无法进行转让或交易的债券和非金融企业债务融资工具，以及其他流动性受限资产。</w:t>
      </w:r>
    </w:p>
    <w:p>
      <w:pPr>
        <w:pStyle w:val="22"/>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三</w:t>
      </w:r>
      <w:r>
        <w:rPr>
          <w:rFonts w:ascii="Times New Roman" w:eastAsia="黑体" w:cs="Times New Roman"/>
          <w:b/>
          <w:color w:val="auto"/>
        </w:rPr>
        <w:t>、</w:t>
      </w:r>
      <w:r>
        <w:rPr>
          <w:rFonts w:hint="eastAsia" w:ascii="Times New Roman" w:eastAsia="黑体" w:cs="Times New Roman"/>
          <w:b/>
          <w:color w:val="auto"/>
        </w:rPr>
        <w:t>理财产品管理人和托管</w:t>
      </w:r>
      <w:r>
        <w:rPr>
          <w:rFonts w:ascii="Times New Roman" w:eastAsia="黑体" w:cs="Times New Roman"/>
          <w:b/>
          <w:color w:val="auto"/>
        </w:rPr>
        <w:t>人</w:t>
      </w:r>
    </w:p>
    <w:p>
      <w:pPr>
        <w:pStyle w:val="22"/>
        <w:snapToGrid w:val="0"/>
        <w:spacing w:after="156" w:afterLines="50" w:line="400" w:lineRule="exact"/>
        <w:ind w:firstLine="480" w:firstLineChars="200"/>
        <w:jc w:val="both"/>
        <w:rPr>
          <w:rFonts w:ascii="仿宋" w:hAnsi="仿宋" w:eastAsia="仿宋"/>
        </w:rPr>
      </w:pPr>
      <w:r>
        <w:rPr>
          <w:rFonts w:hint="eastAsia" w:ascii="仿宋" w:hAnsi="仿宋" w:eastAsia="仿宋"/>
        </w:rPr>
        <w:t>（一）</w:t>
      </w:r>
      <w:r>
        <w:rPr>
          <w:rFonts w:ascii="仿宋" w:hAnsi="仿宋" w:eastAsia="仿宋"/>
        </w:rPr>
        <w:t>本</w:t>
      </w:r>
      <w:r>
        <w:rPr>
          <w:rFonts w:hint="eastAsia" w:ascii="仿宋" w:hAnsi="仿宋" w:eastAsia="仿宋"/>
        </w:rPr>
        <w:t>理财</w:t>
      </w:r>
      <w:r>
        <w:rPr>
          <w:rFonts w:ascii="仿宋" w:hAnsi="仿宋" w:eastAsia="仿宋"/>
        </w:rPr>
        <w:t>产品管理人为华夏理财有限责任公司。</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（二）</w:t>
      </w:r>
      <w:r>
        <w:rPr>
          <w:rFonts w:ascii="仿宋" w:hAnsi="仿宋" w:eastAsia="仿宋" w:cs="宋体"/>
          <w:color w:val="000000"/>
          <w:kern w:val="0"/>
          <w:sz w:val="24"/>
        </w:rPr>
        <w:t>本理财</w:t>
      </w:r>
      <w:r>
        <w:rPr>
          <w:rFonts w:hint="eastAsia" w:ascii="仿宋" w:hAnsi="仿宋" w:eastAsia="仿宋" w:cs="宋体"/>
          <w:color w:val="000000"/>
          <w:kern w:val="0"/>
          <w:sz w:val="24"/>
        </w:rPr>
        <w:t>产品托管人为华夏银行股份有限公司。</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color w:val="000000"/>
          <w:kern w:val="0"/>
          <w:sz w:val="24"/>
        </w:rPr>
        <w:t>1.基本信息</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法定代表人：李民吉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注册地址：北京市东城区建国门内大街22号</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color w:val="000000"/>
          <w:kern w:val="0"/>
          <w:sz w:val="24"/>
        </w:rPr>
        <w:t>2.主要职责</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（1）安全保管理财产品财产；</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（2）为每只理财产品开设独立的托管账户，不同托管账户中的资产应当相互独立；</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（3）按照托管协议约定和</w:t>
      </w:r>
      <w:bookmarkStart w:id="0" w:name="_Hlk76384476"/>
      <w:r>
        <w:rPr>
          <w:rFonts w:hint="eastAsia" w:ascii="仿宋" w:hAnsi="仿宋" w:eastAsia="仿宋" w:cs="宋体"/>
          <w:color w:val="000000"/>
          <w:kern w:val="0"/>
          <w:sz w:val="24"/>
        </w:rPr>
        <w:t>管理人</w:t>
      </w:r>
      <w:bookmarkEnd w:id="0"/>
      <w:r>
        <w:rPr>
          <w:rFonts w:hint="eastAsia" w:ascii="仿宋" w:hAnsi="仿宋" w:eastAsia="仿宋" w:cs="宋体"/>
          <w:color w:val="000000"/>
          <w:kern w:val="0"/>
          <w:sz w:val="24"/>
        </w:rPr>
        <w:t>的投资指令，及时办理清算、交割事宜；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（4）建立与管理人的对账机制，复核、审查理财产品资金头寸、资产账目、资产净值、认购和赎回价格等数据，及时核查认购、赎回以及投资资金的支付和到账情况；</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（5）监督理财产品投资运作，发现理财产品违反法律、行政法规、规章规定或合同约定投资的，应当拒绝执行，及时通知管理人并报告银行业监督管理机构；</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（7）理财托管业务活动的记录、账册、报表和其他相关资料保存期限15年以上；</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（8）对理财产品投资信息和相关资料承担保密责任，除法律、行政法规、规章规定、审计要求或者合同约定外，不得向任何机构或者个人提供相关信息和资料；</w:t>
      </w:r>
    </w:p>
    <w:p>
      <w:pPr>
        <w:widowControl/>
        <w:adjustRightInd w:val="0"/>
        <w:snapToGrid w:val="0"/>
        <w:spacing w:line="276" w:lineRule="auto"/>
        <w:ind w:firstLine="480" w:firstLineChars="200"/>
        <w:contextualSpacing/>
        <w:rPr>
          <w:rFonts w:eastAsia="黑体"/>
          <w:b/>
        </w:rPr>
      </w:pPr>
      <w:r>
        <w:rPr>
          <w:rFonts w:hint="eastAsia" w:ascii="仿宋" w:hAnsi="仿宋" w:eastAsia="仿宋" w:cs="宋体"/>
          <w:color w:val="000000"/>
          <w:kern w:val="0"/>
          <w:sz w:val="24"/>
        </w:rPr>
        <w:t>（9）银行业监督管理机构规定的其他职责。</w:t>
      </w:r>
    </w:p>
    <w:p>
      <w:pPr>
        <w:pStyle w:val="22"/>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四</w:t>
      </w:r>
      <w:r>
        <w:rPr>
          <w:rFonts w:ascii="Times New Roman" w:eastAsia="黑体" w:cs="Times New Roman"/>
          <w:b/>
          <w:color w:val="auto"/>
        </w:rPr>
        <w:t>、理财产品</w:t>
      </w:r>
      <w:r>
        <w:rPr>
          <w:rFonts w:hint="eastAsia" w:ascii="Times New Roman" w:eastAsia="黑体" w:cs="Times New Roman"/>
          <w:b/>
          <w:color w:val="auto"/>
        </w:rPr>
        <w:t>份额净值</w:t>
      </w:r>
      <w:r>
        <w:rPr>
          <w:rFonts w:ascii="Times New Roman" w:eastAsia="黑体" w:cs="Times New Roman"/>
          <w:b/>
          <w:color w:val="auto"/>
        </w:rPr>
        <w:t>的计算</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理财产品</w:t>
      </w:r>
      <w:r>
        <w:rPr>
          <w:rFonts w:hint="eastAsia" w:ascii="仿宋" w:hAnsi="仿宋" w:eastAsia="仿宋" w:cs="宋体"/>
          <w:color w:val="000000"/>
          <w:kern w:val="0"/>
          <w:sz w:val="24"/>
        </w:rPr>
        <w:t>份额净值</w:t>
      </w:r>
      <w:r>
        <w:rPr>
          <w:rFonts w:ascii="仿宋" w:hAnsi="仿宋" w:eastAsia="仿宋" w:cs="宋体"/>
          <w:color w:val="000000"/>
          <w:kern w:val="0"/>
          <w:sz w:val="24"/>
        </w:rPr>
        <w:t>＝理财产品</w:t>
      </w:r>
      <w:r>
        <w:rPr>
          <w:rFonts w:hint="eastAsia" w:ascii="仿宋" w:hAnsi="仿宋" w:eastAsia="仿宋" w:cs="宋体"/>
          <w:color w:val="000000"/>
          <w:kern w:val="0"/>
          <w:sz w:val="24"/>
        </w:rPr>
        <w:t>资产</w:t>
      </w:r>
      <w:r>
        <w:rPr>
          <w:rFonts w:ascii="仿宋" w:hAnsi="仿宋" w:eastAsia="仿宋" w:cs="宋体"/>
          <w:color w:val="000000"/>
          <w:kern w:val="0"/>
          <w:sz w:val="24"/>
        </w:rPr>
        <w:t>净值/理财产品份额</w:t>
      </w:r>
      <w:r>
        <w:rPr>
          <w:rFonts w:hint="eastAsia" w:ascii="仿宋" w:hAnsi="仿宋" w:eastAsia="仿宋" w:cs="宋体"/>
          <w:color w:val="000000"/>
          <w:kern w:val="0"/>
          <w:sz w:val="24"/>
        </w:rPr>
        <w:t>。</w:t>
      </w:r>
    </w:p>
    <w:p>
      <w:pPr>
        <w:widowControl/>
        <w:adjustRightInd w:val="0"/>
        <w:snapToGrid w:val="0"/>
        <w:spacing w:line="276" w:lineRule="auto"/>
        <w:ind w:firstLine="480" w:firstLineChars="200"/>
        <w:contextualSpacing/>
        <w:rPr>
          <w:rFonts w:eastAsia="黑体"/>
          <w:b/>
        </w:rPr>
      </w:pPr>
      <w:r>
        <w:rPr>
          <w:rFonts w:ascii="仿宋" w:hAnsi="仿宋" w:eastAsia="仿宋" w:cs="宋体"/>
          <w:color w:val="000000"/>
          <w:kern w:val="0"/>
          <w:sz w:val="24"/>
        </w:rPr>
        <w:t>理财产品</w:t>
      </w:r>
      <w:r>
        <w:rPr>
          <w:rFonts w:hint="eastAsia" w:ascii="仿宋" w:hAnsi="仿宋" w:eastAsia="仿宋" w:cs="宋体"/>
          <w:color w:val="000000"/>
          <w:kern w:val="0"/>
          <w:sz w:val="24"/>
        </w:rPr>
        <w:t>份额净值</w:t>
      </w:r>
      <w:r>
        <w:rPr>
          <w:rFonts w:ascii="仿宋" w:hAnsi="仿宋" w:eastAsia="仿宋" w:cs="宋体"/>
          <w:color w:val="000000"/>
          <w:kern w:val="0"/>
          <w:sz w:val="24"/>
        </w:rPr>
        <w:t>为提取相关费用后的</w:t>
      </w:r>
      <w:r>
        <w:rPr>
          <w:rFonts w:hint="eastAsia" w:ascii="仿宋" w:hAnsi="仿宋" w:eastAsia="仿宋" w:cs="宋体"/>
          <w:color w:val="000000"/>
          <w:kern w:val="0"/>
          <w:sz w:val="24"/>
        </w:rPr>
        <w:t>份额净值</w:t>
      </w:r>
      <w:r>
        <w:rPr>
          <w:rFonts w:ascii="仿宋" w:hAnsi="仿宋" w:eastAsia="仿宋" w:cs="宋体"/>
          <w:color w:val="000000"/>
          <w:kern w:val="0"/>
          <w:sz w:val="24"/>
        </w:rPr>
        <w:t>，投资者按</w:t>
      </w:r>
      <w:r>
        <w:rPr>
          <w:rFonts w:hint="eastAsia" w:ascii="仿宋" w:hAnsi="仿宋" w:eastAsia="仿宋" w:cs="宋体"/>
          <w:color w:val="000000"/>
          <w:kern w:val="0"/>
          <w:sz w:val="24"/>
        </w:rPr>
        <w:t>该份额净值</w:t>
      </w:r>
      <w:r>
        <w:rPr>
          <w:rFonts w:ascii="仿宋" w:hAnsi="仿宋" w:eastAsia="仿宋" w:cs="宋体"/>
          <w:color w:val="000000"/>
          <w:kern w:val="0"/>
          <w:sz w:val="24"/>
        </w:rPr>
        <w:t>申购、赎回和</w:t>
      </w:r>
      <w:r>
        <w:rPr>
          <w:rFonts w:hint="eastAsia" w:ascii="仿宋" w:hAnsi="仿宋" w:eastAsia="仿宋" w:cs="宋体"/>
          <w:color w:val="000000"/>
          <w:kern w:val="0"/>
          <w:sz w:val="24"/>
        </w:rPr>
        <w:t>到期/</w:t>
      </w:r>
      <w:r>
        <w:rPr>
          <w:rFonts w:ascii="仿宋" w:hAnsi="仿宋" w:eastAsia="仿宋" w:cs="宋体"/>
          <w:color w:val="000000"/>
          <w:kern w:val="0"/>
          <w:sz w:val="24"/>
        </w:rPr>
        <w:t>终止。</w:t>
      </w:r>
    </w:p>
    <w:p>
      <w:pPr>
        <w:pStyle w:val="22"/>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五</w:t>
      </w:r>
      <w:r>
        <w:rPr>
          <w:rFonts w:ascii="Times New Roman" w:eastAsia="黑体" w:cs="Times New Roman"/>
          <w:b/>
          <w:color w:val="auto"/>
        </w:rPr>
        <w:t>、认购</w:t>
      </w:r>
      <w:r>
        <w:rPr>
          <w:rFonts w:hint="eastAsia" w:ascii="Times New Roman" w:eastAsia="黑体" w:cs="Times New Roman"/>
          <w:b/>
          <w:color w:val="auto"/>
        </w:rPr>
        <w:t>、申购、赎回</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kern w:val="0"/>
          <w:sz w:val="24"/>
        </w:rPr>
        <w:t>（一）认购、申购、赎回交易渠道和规定</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1</w:t>
      </w:r>
      <w:r>
        <w:rPr>
          <w:rFonts w:hint="eastAsia" w:ascii="仿宋" w:hAnsi="仿宋" w:eastAsia="仿宋" w:cs="宋体"/>
          <w:color w:val="000000"/>
          <w:kern w:val="0"/>
          <w:sz w:val="24"/>
        </w:rPr>
        <w:t>.</w:t>
      </w:r>
      <w:r>
        <w:rPr>
          <w:rFonts w:hint="eastAsia" w:ascii="仿宋" w:hAnsi="仿宋" w:eastAsia="仿宋" w:cs="宋体"/>
          <w:kern w:val="0"/>
          <w:sz w:val="24"/>
        </w:rPr>
        <w:t>通过华夏理财购买的，</w:t>
      </w:r>
      <w:r>
        <w:rPr>
          <w:rFonts w:ascii="仿宋" w:hAnsi="仿宋" w:eastAsia="仿宋" w:cs="宋体"/>
          <w:kern w:val="0"/>
          <w:sz w:val="24"/>
        </w:rPr>
        <w:t>投资者可通过</w:t>
      </w:r>
      <w:r>
        <w:rPr>
          <w:rFonts w:hint="eastAsia" w:ascii="仿宋" w:hAnsi="仿宋" w:eastAsia="仿宋" w:cs="宋体"/>
          <w:kern w:val="0"/>
          <w:sz w:val="24"/>
        </w:rPr>
        <w:t>华夏理财</w:t>
      </w:r>
      <w:r>
        <w:rPr>
          <w:rFonts w:hint="eastAsia" w:ascii="仿宋" w:hAnsi="仿宋" w:eastAsia="仿宋" w:cs="宋体"/>
          <w:kern w:val="0"/>
          <w:sz w:val="24"/>
          <w:lang w:val="en-US" w:eastAsia="zh-CN"/>
        </w:rPr>
        <w:t>直销</w:t>
      </w:r>
      <w:r>
        <w:rPr>
          <w:rFonts w:hint="eastAsia" w:ascii="仿宋" w:hAnsi="仿宋" w:eastAsia="仿宋" w:cs="宋体"/>
          <w:kern w:val="0"/>
          <w:sz w:val="24"/>
        </w:rPr>
        <w:t>渠道</w:t>
      </w:r>
      <w:r>
        <w:rPr>
          <w:rFonts w:ascii="仿宋" w:hAnsi="仿宋" w:eastAsia="仿宋" w:cs="宋体"/>
          <w:kern w:val="0"/>
          <w:sz w:val="24"/>
        </w:rPr>
        <w:t>发起</w:t>
      </w:r>
      <w:r>
        <w:rPr>
          <w:rFonts w:hint="eastAsia" w:ascii="仿宋" w:hAnsi="仿宋" w:eastAsia="仿宋" w:cs="宋体"/>
          <w:kern w:val="0"/>
          <w:sz w:val="24"/>
        </w:rPr>
        <w:t>认购</w:t>
      </w:r>
      <w:r>
        <w:rPr>
          <w:rFonts w:hint="eastAsia" w:ascii="仿宋" w:hAnsi="仿宋" w:eastAsia="仿宋" w:cs="宋体"/>
          <w:color w:val="000000"/>
          <w:kern w:val="0"/>
          <w:sz w:val="24"/>
        </w:rPr>
        <w:t>、</w:t>
      </w:r>
      <w:r>
        <w:rPr>
          <w:rFonts w:ascii="仿宋" w:hAnsi="仿宋" w:eastAsia="仿宋" w:cs="宋体"/>
          <w:color w:val="000000"/>
          <w:kern w:val="0"/>
          <w:sz w:val="24"/>
        </w:rPr>
        <w:t>申购、赎回</w:t>
      </w:r>
      <w:r>
        <w:rPr>
          <w:rFonts w:ascii="仿宋" w:hAnsi="仿宋" w:eastAsia="仿宋" w:cs="宋体"/>
          <w:kern w:val="0"/>
          <w:sz w:val="24"/>
        </w:rPr>
        <w:t>申请</w:t>
      </w:r>
      <w:r>
        <w:rPr>
          <w:rFonts w:hint="eastAsia" w:ascii="仿宋" w:hAnsi="仿宋" w:eastAsia="仿宋" w:cs="宋体"/>
          <w:kern w:val="0"/>
          <w:sz w:val="24"/>
        </w:rPr>
        <w:t>；通过华夏银行购买的，</w:t>
      </w:r>
      <w:r>
        <w:rPr>
          <w:rFonts w:ascii="仿宋" w:hAnsi="仿宋" w:eastAsia="仿宋" w:cs="宋体"/>
          <w:kern w:val="0"/>
          <w:sz w:val="24"/>
        </w:rPr>
        <w:t>投资者可通过</w:t>
      </w:r>
      <w:r>
        <w:rPr>
          <w:rFonts w:hint="eastAsia" w:ascii="仿宋" w:hAnsi="仿宋" w:eastAsia="仿宋" w:cs="宋体"/>
          <w:kern w:val="0"/>
          <w:sz w:val="24"/>
        </w:rPr>
        <w:t>华夏银行柜台</w:t>
      </w:r>
      <w:r>
        <w:rPr>
          <w:rFonts w:hint="eastAsia" w:ascii="仿宋" w:hAnsi="仿宋" w:eastAsia="仿宋"/>
          <w:sz w:val="24"/>
        </w:rPr>
        <w:t>、手机银行、网上银行等</w:t>
      </w:r>
      <w:r>
        <w:rPr>
          <w:rFonts w:ascii="仿宋" w:hAnsi="仿宋" w:eastAsia="仿宋"/>
          <w:sz w:val="24"/>
        </w:rPr>
        <w:t>渠道</w:t>
      </w:r>
      <w:r>
        <w:rPr>
          <w:rFonts w:ascii="仿宋" w:hAnsi="仿宋" w:eastAsia="仿宋" w:cs="宋体"/>
          <w:kern w:val="0"/>
          <w:sz w:val="24"/>
        </w:rPr>
        <w:t>发起</w:t>
      </w:r>
      <w:r>
        <w:rPr>
          <w:rFonts w:hint="eastAsia" w:ascii="仿宋" w:hAnsi="仿宋" w:eastAsia="仿宋" w:cs="宋体"/>
          <w:kern w:val="0"/>
          <w:sz w:val="24"/>
        </w:rPr>
        <w:t>认购</w:t>
      </w:r>
      <w:r>
        <w:rPr>
          <w:rFonts w:hint="eastAsia" w:ascii="仿宋" w:hAnsi="仿宋" w:eastAsia="仿宋" w:cs="宋体"/>
          <w:color w:val="000000"/>
          <w:kern w:val="0"/>
          <w:sz w:val="24"/>
        </w:rPr>
        <w:t>、</w:t>
      </w:r>
      <w:r>
        <w:rPr>
          <w:rFonts w:ascii="仿宋" w:hAnsi="仿宋" w:eastAsia="仿宋" w:cs="宋体"/>
          <w:color w:val="000000"/>
          <w:kern w:val="0"/>
          <w:sz w:val="24"/>
        </w:rPr>
        <w:t>申购、赎回</w:t>
      </w:r>
      <w:r>
        <w:rPr>
          <w:rFonts w:ascii="仿宋" w:hAnsi="仿宋" w:eastAsia="仿宋" w:cs="宋体"/>
          <w:kern w:val="0"/>
          <w:sz w:val="24"/>
        </w:rPr>
        <w:t>申请</w:t>
      </w:r>
      <w:r>
        <w:rPr>
          <w:rFonts w:hint="eastAsia" w:ascii="仿宋" w:hAnsi="仿宋" w:eastAsia="仿宋" w:cs="宋体"/>
          <w:kern w:val="0"/>
          <w:sz w:val="24"/>
        </w:rPr>
        <w:t>；通过代销机构购买的，认购</w:t>
      </w:r>
      <w:r>
        <w:rPr>
          <w:rFonts w:hint="eastAsia" w:ascii="仿宋" w:hAnsi="仿宋" w:eastAsia="仿宋" w:cs="宋体"/>
          <w:color w:val="000000"/>
          <w:kern w:val="0"/>
          <w:sz w:val="24"/>
        </w:rPr>
        <w:t>、</w:t>
      </w:r>
      <w:r>
        <w:rPr>
          <w:rFonts w:ascii="仿宋" w:hAnsi="仿宋" w:eastAsia="仿宋" w:cs="宋体"/>
          <w:color w:val="000000"/>
          <w:kern w:val="0"/>
          <w:sz w:val="24"/>
        </w:rPr>
        <w:t>申购、赎回</w:t>
      </w:r>
      <w:r>
        <w:rPr>
          <w:rFonts w:hint="eastAsia" w:ascii="仿宋" w:hAnsi="仿宋" w:eastAsia="仿宋" w:cs="宋体"/>
          <w:kern w:val="0"/>
          <w:sz w:val="24"/>
        </w:rPr>
        <w:t>渠道以代销机构规定为准</w:t>
      </w:r>
      <w:r>
        <w:rPr>
          <w:rFonts w:ascii="仿宋" w:hAnsi="仿宋" w:eastAsia="仿宋" w:cs="宋体"/>
          <w:kern w:val="0"/>
          <w:sz w:val="24"/>
        </w:rPr>
        <w:t>。</w:t>
      </w:r>
    </w:p>
    <w:p>
      <w:pPr>
        <w:widowControl/>
        <w:adjustRightInd w:val="0"/>
        <w:snapToGrid w:val="0"/>
        <w:spacing w:line="276" w:lineRule="auto"/>
        <w:ind w:firstLine="482" w:firstLineChars="200"/>
        <w:contextualSpacing/>
        <w:rPr>
          <w:rFonts w:ascii="仿宋" w:hAnsi="仿宋" w:eastAsia="仿宋" w:cs="宋体"/>
          <w:b/>
          <w:bCs/>
          <w:kern w:val="0"/>
          <w:sz w:val="24"/>
        </w:rPr>
      </w:pPr>
      <w:r>
        <w:rPr>
          <w:rFonts w:ascii="仿宋" w:hAnsi="仿宋" w:eastAsia="仿宋" w:cs="宋体"/>
          <w:b/>
          <w:bCs/>
          <w:color w:val="000000"/>
          <w:kern w:val="0"/>
          <w:sz w:val="24"/>
        </w:rPr>
        <w:t>2</w:t>
      </w:r>
      <w:r>
        <w:rPr>
          <w:rFonts w:hint="eastAsia" w:ascii="仿宋" w:hAnsi="仿宋" w:eastAsia="仿宋" w:cs="宋体"/>
          <w:b/>
          <w:bCs/>
          <w:color w:val="000000"/>
          <w:kern w:val="0"/>
          <w:sz w:val="24"/>
        </w:rPr>
        <w:t>．</w:t>
      </w:r>
      <w:r>
        <w:rPr>
          <w:rFonts w:hint="eastAsia" w:ascii="仿宋" w:hAnsi="仿宋" w:eastAsia="仿宋" w:cs="宋体"/>
          <w:b/>
          <w:bCs/>
          <w:kern w:val="0"/>
          <w:sz w:val="24"/>
        </w:rPr>
        <w:t>本</w:t>
      </w:r>
      <w:r>
        <w:rPr>
          <w:rFonts w:hint="eastAsia" w:ascii="仿宋" w:hAnsi="仿宋" w:eastAsia="仿宋" w:cs="宋体"/>
          <w:b/>
          <w:bCs/>
          <w:color w:val="000000"/>
          <w:kern w:val="0"/>
          <w:sz w:val="24"/>
        </w:rPr>
        <w:t>理财</w:t>
      </w:r>
      <w:r>
        <w:rPr>
          <w:rFonts w:hint="eastAsia" w:ascii="仿宋" w:hAnsi="仿宋" w:eastAsia="仿宋" w:cs="宋体"/>
          <w:b/>
          <w:bCs/>
          <w:kern w:val="0"/>
          <w:sz w:val="24"/>
        </w:rPr>
        <w:t>产品单一投资者持有</w:t>
      </w:r>
      <w:r>
        <w:rPr>
          <w:rFonts w:hint="eastAsia" w:ascii="仿宋" w:hAnsi="仿宋" w:eastAsia="仿宋" w:cs="宋体"/>
          <w:b/>
          <w:bCs/>
          <w:color w:val="000000"/>
          <w:kern w:val="0"/>
          <w:sz w:val="24"/>
        </w:rPr>
        <w:t>产品</w:t>
      </w:r>
      <w:r>
        <w:rPr>
          <w:rFonts w:hint="eastAsia" w:ascii="仿宋" w:hAnsi="仿宋" w:eastAsia="仿宋" w:cs="宋体"/>
          <w:b/>
          <w:bCs/>
          <w:kern w:val="0"/>
          <w:sz w:val="24"/>
        </w:rPr>
        <w:t>份额数不得超过</w:t>
      </w:r>
      <w:r>
        <w:rPr>
          <w:rFonts w:hint="eastAsia" w:ascii="仿宋" w:hAnsi="仿宋" w:eastAsia="仿宋" w:cs="宋体"/>
          <w:b/>
          <w:bCs/>
          <w:color w:val="000000"/>
          <w:kern w:val="0"/>
          <w:sz w:val="24"/>
        </w:rPr>
        <w:t>产品</w:t>
      </w:r>
      <w:r>
        <w:rPr>
          <w:rFonts w:hint="eastAsia" w:ascii="仿宋" w:hAnsi="仿宋" w:eastAsia="仿宋" w:cs="宋体"/>
          <w:b/>
          <w:bCs/>
          <w:kern w:val="0"/>
          <w:sz w:val="24"/>
        </w:rPr>
        <w:t>份额总数的 50%。非因</w:t>
      </w:r>
      <w:r>
        <w:rPr>
          <w:rFonts w:ascii="仿宋" w:hAnsi="仿宋" w:eastAsia="仿宋" w:cs="宋体"/>
          <w:b/>
          <w:bCs/>
          <w:kern w:val="0"/>
          <w:sz w:val="24"/>
        </w:rPr>
        <w:t>管理人</w:t>
      </w:r>
      <w:r>
        <w:rPr>
          <w:rFonts w:hint="eastAsia" w:ascii="仿宋" w:hAnsi="仿宋" w:eastAsia="仿宋" w:cs="宋体"/>
          <w:b/>
          <w:bCs/>
          <w:kern w:val="0"/>
          <w:sz w:val="24"/>
        </w:rPr>
        <w:t>主观因素导致突破前款规定比例限制的，在单一投资者持有比例降至50%以下之前，</w:t>
      </w:r>
      <w:r>
        <w:rPr>
          <w:rFonts w:ascii="仿宋" w:hAnsi="仿宋" w:eastAsia="仿宋" w:cs="宋体"/>
          <w:b/>
          <w:bCs/>
          <w:kern w:val="0"/>
          <w:sz w:val="24"/>
        </w:rPr>
        <w:t>管理人将</w:t>
      </w:r>
      <w:r>
        <w:rPr>
          <w:rFonts w:hint="eastAsia" w:ascii="仿宋" w:hAnsi="仿宋" w:eastAsia="仿宋" w:cs="宋体"/>
          <w:b/>
          <w:bCs/>
          <w:kern w:val="0"/>
          <w:sz w:val="24"/>
        </w:rPr>
        <w:t>不再接受该单一投资者对本理财产品的认、</w:t>
      </w:r>
      <w:r>
        <w:rPr>
          <w:rFonts w:ascii="仿宋" w:hAnsi="仿宋" w:eastAsia="仿宋" w:cs="宋体"/>
          <w:b/>
          <w:bCs/>
          <w:kern w:val="0"/>
          <w:sz w:val="24"/>
        </w:rPr>
        <w:t>申</w:t>
      </w:r>
      <w:r>
        <w:rPr>
          <w:rFonts w:hint="eastAsia" w:ascii="仿宋" w:hAnsi="仿宋" w:eastAsia="仿宋" w:cs="宋体"/>
          <w:b/>
          <w:bCs/>
          <w:kern w:val="0"/>
          <w:sz w:val="24"/>
        </w:rPr>
        <w:t>购申请。</w:t>
      </w:r>
    </w:p>
    <w:p>
      <w:pPr>
        <w:widowControl/>
        <w:adjustRightInd w:val="0"/>
        <w:snapToGrid w:val="0"/>
        <w:spacing w:line="276" w:lineRule="auto"/>
        <w:ind w:firstLine="480" w:firstLineChars="200"/>
        <w:contextualSpacing/>
        <w:rPr>
          <w:rFonts w:ascii="微软简仿宋" w:hAnsi="微软简仿宋" w:eastAsia="微软简仿宋"/>
          <w:bCs/>
          <w:szCs w:val="21"/>
        </w:rPr>
      </w:pPr>
      <w:r>
        <w:rPr>
          <w:rFonts w:hint="eastAsia" w:ascii="仿宋" w:hAnsi="仿宋" w:eastAsia="仿宋" w:cs="宋体"/>
          <w:kern w:val="0"/>
          <w:sz w:val="24"/>
        </w:rPr>
        <w:t>法律法规、监管部门另有规定的，从其规定。</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hint="eastAsia" w:ascii="仿宋" w:hAnsi="仿宋" w:eastAsia="仿宋" w:cs="宋体"/>
          <w:kern w:val="0"/>
          <w:sz w:val="24"/>
        </w:rPr>
        <w:t>（二）拒绝或暂停</w:t>
      </w:r>
      <w:r>
        <w:rPr>
          <w:rFonts w:hint="eastAsia" w:ascii="仿宋" w:hAnsi="仿宋" w:eastAsia="仿宋" w:cs="宋体"/>
          <w:color w:val="000000"/>
          <w:kern w:val="0"/>
          <w:sz w:val="24"/>
        </w:rPr>
        <w:t>认（申）</w:t>
      </w:r>
      <w:r>
        <w:rPr>
          <w:rFonts w:hint="eastAsia" w:ascii="仿宋" w:hAnsi="仿宋" w:eastAsia="仿宋" w:cs="宋体"/>
          <w:kern w:val="0"/>
          <w:sz w:val="24"/>
        </w:rPr>
        <w:t>购的情形</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发生下列情况之一时，</w:t>
      </w:r>
      <w:r>
        <w:rPr>
          <w:rFonts w:ascii="仿宋" w:hAnsi="仿宋" w:eastAsia="仿宋" w:cs="宋体"/>
          <w:b/>
          <w:bCs/>
          <w:kern w:val="0"/>
          <w:sz w:val="24"/>
        </w:rPr>
        <w:t>管理人</w:t>
      </w:r>
      <w:r>
        <w:rPr>
          <w:rFonts w:hint="eastAsia" w:ascii="仿宋" w:hAnsi="仿宋" w:eastAsia="仿宋" w:cs="宋体"/>
          <w:b/>
          <w:bCs/>
          <w:kern w:val="0"/>
          <w:sz w:val="24"/>
        </w:rPr>
        <w:t>可以</w:t>
      </w:r>
      <w:r>
        <w:rPr>
          <w:rFonts w:hint="eastAsia" w:ascii="仿宋" w:hAnsi="仿宋" w:eastAsia="仿宋" w:cs="宋体"/>
          <w:b/>
          <w:bCs/>
          <w:color w:val="000000"/>
          <w:kern w:val="0"/>
          <w:sz w:val="24"/>
        </w:rPr>
        <w:t>采取认（申）购风险应对措施，</w:t>
      </w:r>
      <w:r>
        <w:rPr>
          <w:rFonts w:hint="eastAsia" w:ascii="仿宋" w:hAnsi="仿宋" w:eastAsia="仿宋" w:cs="宋体"/>
          <w:b/>
          <w:bCs/>
          <w:kern w:val="0"/>
          <w:sz w:val="24"/>
        </w:rPr>
        <w:t>拒绝或暂停接受</w:t>
      </w:r>
      <w:r>
        <w:rPr>
          <w:rFonts w:hint="eastAsia" w:ascii="仿宋" w:hAnsi="仿宋" w:eastAsia="仿宋" w:cs="宋体"/>
          <w:b/>
          <w:bCs/>
          <w:color w:val="000000"/>
          <w:kern w:val="0"/>
          <w:sz w:val="24"/>
        </w:rPr>
        <w:t>认（申）</w:t>
      </w:r>
      <w:r>
        <w:rPr>
          <w:rFonts w:hint="eastAsia" w:ascii="仿宋" w:hAnsi="仿宋" w:eastAsia="仿宋" w:cs="宋体"/>
          <w:b/>
          <w:bCs/>
          <w:kern w:val="0"/>
          <w:sz w:val="24"/>
        </w:rPr>
        <w:t>购申请</w:t>
      </w:r>
      <w:r>
        <w:rPr>
          <w:rFonts w:hint="eastAsia" w:ascii="仿宋" w:hAnsi="仿宋" w:eastAsia="仿宋" w:cs="宋体"/>
          <w:b/>
          <w:bCs/>
          <w:color w:val="000000"/>
          <w:kern w:val="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1．因不可抗力导致理财</w:t>
      </w:r>
      <w:r>
        <w:rPr>
          <w:rFonts w:ascii="仿宋" w:hAnsi="仿宋" w:eastAsia="仿宋" w:cs="宋体"/>
          <w:color w:val="000000"/>
          <w:kern w:val="0"/>
          <w:sz w:val="24"/>
        </w:rPr>
        <w:t>产品</w:t>
      </w:r>
      <w:r>
        <w:rPr>
          <w:rFonts w:hint="eastAsia" w:ascii="仿宋" w:hAnsi="仿宋" w:eastAsia="仿宋" w:cs="宋体"/>
          <w:color w:val="000000"/>
          <w:kern w:val="0"/>
          <w:sz w:val="24"/>
        </w:rPr>
        <w:t>无法正常运作。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2．发生本产品说明书约定的暂停估值情况。</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3．接受认（申）购申请可能对存量投资者利益构成重大不利影响。</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4．认购/申购日理财产品实时余额已达到规模上限。</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5．基于理财产品投资运作与风险控制需要。</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6．认（申）购申请超过说明书约定的单一投资者认（申）购金额上限、或超过理财产品单日净认（申）购比例上限。</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7</w:t>
      </w:r>
      <w:r>
        <w:rPr>
          <w:rFonts w:hint="eastAsia" w:ascii="仿宋" w:hAnsi="仿宋" w:eastAsia="仿宋" w:cs="宋体"/>
          <w:color w:val="000000"/>
          <w:kern w:val="0"/>
          <w:sz w:val="24"/>
        </w:rPr>
        <w:t>．接受认（申）购申请有可能导致单一投资者持有份额的比例超过产品</w:t>
      </w:r>
      <w:r>
        <w:rPr>
          <w:rFonts w:hint="eastAsia" w:ascii="仿宋" w:hAnsi="仿宋" w:eastAsia="仿宋" w:cs="宋体"/>
          <w:kern w:val="0"/>
          <w:sz w:val="24"/>
        </w:rPr>
        <w:t>份额总数的</w:t>
      </w:r>
      <w:r>
        <w:rPr>
          <w:rFonts w:hint="eastAsia" w:ascii="仿宋" w:hAnsi="仿宋" w:eastAsia="仿宋" w:cs="宋体"/>
          <w:color w:val="000000"/>
          <w:kern w:val="0"/>
          <w:sz w:val="24"/>
        </w:rPr>
        <w:t>50%，或者出现变相规避50%集中度限制的情形。</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8</w:t>
      </w:r>
      <w:r>
        <w:rPr>
          <w:rFonts w:hint="eastAsia" w:ascii="仿宋" w:hAnsi="仿宋" w:eastAsia="仿宋" w:cs="宋体"/>
          <w:color w:val="000000"/>
          <w:kern w:val="0"/>
          <w:sz w:val="24"/>
        </w:rPr>
        <w:t>．法律法规规定或监管</w:t>
      </w:r>
      <w:r>
        <w:rPr>
          <w:rFonts w:ascii="仿宋" w:hAnsi="仿宋" w:eastAsia="仿宋" w:cs="宋体"/>
          <w:color w:val="000000"/>
          <w:kern w:val="0"/>
          <w:sz w:val="24"/>
        </w:rPr>
        <w:t>机构</w:t>
      </w:r>
      <w:r>
        <w:rPr>
          <w:rFonts w:hint="eastAsia" w:ascii="仿宋" w:hAnsi="仿宋" w:eastAsia="仿宋" w:cs="宋体"/>
          <w:color w:val="000000"/>
          <w:kern w:val="0"/>
          <w:sz w:val="24"/>
        </w:rPr>
        <w:t>认定的其他情形。</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color w:val="000000"/>
          <w:kern w:val="0"/>
          <w:sz w:val="24"/>
        </w:rPr>
        <w:t>如果投资人的认（申）购申请被全部或部分拒绝的，被拒绝的认（申）购款项将退还给投资人。在暂停认（申）购的情况消除时，</w:t>
      </w:r>
      <w:r>
        <w:rPr>
          <w:rFonts w:ascii="仿宋" w:hAnsi="仿宋" w:eastAsia="仿宋" w:cs="宋体"/>
          <w:kern w:val="0"/>
          <w:sz w:val="24"/>
        </w:rPr>
        <w:t>管理人</w:t>
      </w:r>
      <w:r>
        <w:rPr>
          <w:rFonts w:hint="eastAsia" w:ascii="仿宋" w:hAnsi="仿宋" w:eastAsia="仿宋" w:cs="宋体"/>
          <w:color w:val="000000"/>
          <w:kern w:val="0"/>
          <w:sz w:val="24"/>
        </w:rPr>
        <w:t>将及时恢复办理业务。</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kern w:val="0"/>
          <w:sz w:val="24"/>
        </w:rPr>
        <w:t>（三）暂停赎回或延缓支付赎回款项的情形</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在发生下列情形之一时，</w:t>
      </w:r>
      <w:r>
        <w:rPr>
          <w:rFonts w:ascii="仿宋" w:hAnsi="仿宋" w:eastAsia="仿宋" w:cs="宋体"/>
          <w:b/>
          <w:bCs/>
          <w:kern w:val="0"/>
          <w:sz w:val="24"/>
        </w:rPr>
        <w:t>管理人</w:t>
      </w:r>
      <w:r>
        <w:rPr>
          <w:rFonts w:hint="eastAsia" w:ascii="仿宋" w:hAnsi="仿宋" w:eastAsia="仿宋" w:cs="宋体"/>
          <w:b/>
          <w:bCs/>
          <w:kern w:val="0"/>
          <w:sz w:val="24"/>
        </w:rPr>
        <w:t>可以采取</w:t>
      </w:r>
      <w:r>
        <w:rPr>
          <w:rFonts w:hint="eastAsia" w:ascii="仿宋" w:hAnsi="仿宋" w:eastAsia="仿宋" w:cs="宋体"/>
          <w:b/>
          <w:bCs/>
          <w:color w:val="000000"/>
          <w:kern w:val="0"/>
          <w:sz w:val="24"/>
        </w:rPr>
        <w:t>赎回流动性风险应对措施，包括</w:t>
      </w:r>
      <w:r>
        <w:rPr>
          <w:rFonts w:ascii="仿宋" w:hAnsi="仿宋" w:eastAsia="仿宋" w:cs="宋体"/>
          <w:b/>
          <w:bCs/>
          <w:color w:val="000000"/>
          <w:kern w:val="0"/>
          <w:sz w:val="24"/>
        </w:rPr>
        <w:t>但不限于</w:t>
      </w:r>
      <w:r>
        <w:rPr>
          <w:rFonts w:hint="eastAsia" w:ascii="仿宋" w:hAnsi="仿宋" w:eastAsia="仿宋" w:cs="宋体"/>
          <w:b/>
          <w:bCs/>
          <w:color w:val="000000"/>
          <w:kern w:val="0"/>
          <w:sz w:val="24"/>
        </w:rPr>
        <w:t>延期办理巨额赎回申请、暂停接受赎回申请、延缓支付赎回款项等：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1．因不可抗力导致</w:t>
      </w:r>
      <w:r>
        <w:rPr>
          <w:rFonts w:ascii="仿宋" w:hAnsi="仿宋" w:eastAsia="仿宋" w:cs="宋体"/>
          <w:kern w:val="0"/>
          <w:sz w:val="24"/>
        </w:rPr>
        <w:t>管理人</w:t>
      </w:r>
      <w:r>
        <w:rPr>
          <w:rFonts w:hint="eastAsia" w:ascii="仿宋" w:hAnsi="仿宋" w:eastAsia="仿宋" w:cs="宋体"/>
          <w:color w:val="000000"/>
          <w:kern w:val="0"/>
          <w:sz w:val="24"/>
        </w:rPr>
        <w:t>不能支付赎回款项。</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2．发生本产品说明书约定的暂停估值情形。</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3</w:t>
      </w:r>
      <w:r>
        <w:rPr>
          <w:rFonts w:hint="eastAsia" w:ascii="仿宋" w:hAnsi="仿宋" w:eastAsia="仿宋" w:cs="宋体"/>
          <w:color w:val="000000"/>
          <w:kern w:val="0"/>
          <w:sz w:val="24"/>
        </w:rPr>
        <w:t>．发生巨额赎回。</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4</w:t>
      </w:r>
      <w:r>
        <w:rPr>
          <w:rFonts w:hint="eastAsia" w:ascii="仿宋" w:hAnsi="仿宋" w:eastAsia="仿宋" w:cs="宋体"/>
          <w:color w:val="000000"/>
          <w:kern w:val="0"/>
          <w:sz w:val="24"/>
        </w:rPr>
        <w:t>．连续2个以上开放日发生巨额赎回。</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bCs/>
          <w:color w:val="000000"/>
          <w:sz w:val="24"/>
        </w:rPr>
        <w:t>5.单个投资者在单个开放日的赎回超过说明书约定的赎回比例</w:t>
      </w:r>
      <w:r>
        <w:rPr>
          <w:rFonts w:ascii="仿宋" w:hAnsi="仿宋" w:eastAsia="仿宋"/>
          <w:bCs/>
          <w:color w:val="000000"/>
          <w:sz w:val="24"/>
        </w:rPr>
        <w:t>上限</w:t>
      </w:r>
      <w:r>
        <w:rPr>
          <w:rFonts w:hint="eastAsia" w:ascii="仿宋" w:hAnsi="仿宋" w:eastAsia="仿宋"/>
          <w:bCs/>
          <w:color w:val="00000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6．继续接受赎回申请可能对存量理财投资者利益构成潜在重大不利影响。</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7．法律法规规定或监管机构认定的其他情形。</w:t>
      </w:r>
    </w:p>
    <w:p>
      <w:pPr>
        <w:pStyle w:val="22"/>
        <w:snapToGrid w:val="0"/>
        <w:spacing w:after="156" w:afterLines="50" w:line="400" w:lineRule="exact"/>
        <w:ind w:firstLine="480" w:firstLineChars="200"/>
        <w:jc w:val="both"/>
        <w:rPr>
          <w:rFonts w:ascii="Times New Roman" w:eastAsia="黑体" w:cs="Times New Roman"/>
          <w:b/>
          <w:color w:val="auto"/>
        </w:rPr>
      </w:pPr>
      <w:r>
        <w:rPr>
          <w:rFonts w:hint="eastAsia" w:ascii="仿宋" w:hAnsi="仿宋" w:eastAsia="仿宋"/>
        </w:rPr>
        <w:t>在暂停赎回的情形消除时，</w:t>
      </w:r>
      <w:r>
        <w:rPr>
          <w:rFonts w:ascii="仿宋" w:hAnsi="仿宋" w:eastAsia="仿宋"/>
        </w:rPr>
        <w:t>管理人</w:t>
      </w:r>
      <w:r>
        <w:rPr>
          <w:rFonts w:hint="eastAsia" w:ascii="仿宋" w:hAnsi="仿宋" w:eastAsia="仿宋"/>
        </w:rPr>
        <w:t>将及时恢复办理赎回业务并公告。</w:t>
      </w:r>
    </w:p>
    <w:p>
      <w:pPr>
        <w:pStyle w:val="22"/>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六</w:t>
      </w:r>
      <w:r>
        <w:rPr>
          <w:rFonts w:ascii="Times New Roman" w:eastAsia="黑体" w:cs="Times New Roman"/>
          <w:b/>
          <w:color w:val="auto"/>
        </w:rPr>
        <w:t>、</w:t>
      </w:r>
      <w:r>
        <w:rPr>
          <w:rFonts w:hint="eastAsia" w:ascii="Times New Roman" w:eastAsia="黑体" w:cs="Times New Roman"/>
          <w:b/>
          <w:color w:val="auto"/>
        </w:rPr>
        <w:t>收益示例</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例1：假设客户持有的本理财产品份额为200,000份，在开放日赎回100,000份，则：若产品开放日份额净值为1.1800，则客户获得的赎回金额为：100,000*1.1800=118,000.00元。</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若产品开放日份额净值为0.9980，则客户获得赎回金额为：100,000*0.9980=99,800.00元。</w:t>
      </w:r>
    </w:p>
    <w:p>
      <w:pPr>
        <w:widowControl/>
        <w:adjustRightInd w:val="0"/>
        <w:snapToGrid w:val="0"/>
        <w:spacing w:line="276" w:lineRule="auto"/>
        <w:ind w:firstLine="480" w:firstLineChars="200"/>
        <w:contextualSpacing/>
        <w:rPr>
          <w:rFonts w:ascii="仿宋" w:hAnsi="仿宋" w:eastAsia="仿宋"/>
          <w:sz w:val="24"/>
        </w:rPr>
      </w:pPr>
      <w:r>
        <w:rPr>
          <w:rFonts w:hint="eastAsia" w:ascii="仿宋" w:hAnsi="仿宋" w:eastAsia="仿宋" w:cs="宋体"/>
          <w:color w:val="000000"/>
          <w:kern w:val="0"/>
          <w:sz w:val="24"/>
        </w:rPr>
        <w:t>例2：客户在本理财产品的开放日申请购买了100,000元的本理财产品，如购买当日产品的份额净值为1.0110，则该笔购买申请确认后，该笔购买申请对应的理财产品份额为：100,000/1.0110=98,911.9</w:t>
      </w:r>
      <w:r>
        <w:rPr>
          <w:rFonts w:ascii="仿宋" w:hAnsi="仿宋" w:eastAsia="仿宋" w:cs="宋体"/>
          <w:color w:val="000000"/>
          <w:kern w:val="0"/>
          <w:sz w:val="24"/>
        </w:rPr>
        <w:t>7</w:t>
      </w:r>
      <w:r>
        <w:rPr>
          <w:rFonts w:hint="eastAsia" w:ascii="仿宋" w:hAnsi="仿宋" w:eastAsia="仿宋" w:cs="宋体"/>
          <w:color w:val="000000"/>
          <w:kern w:val="0"/>
          <w:sz w:val="24"/>
        </w:rPr>
        <w:t>份。</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上述理财产品收益分析及计算中所采用的全部为模拟数据，仅供参考，不代表本理财产品实际收益水平。收益示例不等于实际收益，投资须谨慎。</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华夏理财郑重提示：本理财产品是非保本浮动收益净值型理财产品，不保证理财本金和收益。投资者的本金和收益可能会因市场变动等原因而蒙受损失。投资者应充分认识投资风险，谨慎投资。</w:t>
      </w:r>
    </w:p>
    <w:p>
      <w:pPr>
        <w:autoSpaceDE w:val="0"/>
        <w:autoSpaceDN w:val="0"/>
        <w:adjustRightInd w:val="0"/>
        <w:snapToGrid w:val="0"/>
        <w:spacing w:line="276" w:lineRule="auto"/>
        <w:ind w:firstLine="482" w:firstLineChars="200"/>
        <w:contextualSpacing/>
        <w:rPr>
          <w:rFonts w:eastAsia="黑体"/>
          <w:b/>
          <w:color w:val="000000"/>
          <w:sz w:val="24"/>
        </w:rPr>
      </w:pPr>
      <w:r>
        <w:rPr>
          <w:rFonts w:hint="eastAsia" w:eastAsia="黑体"/>
          <w:b/>
          <w:color w:val="000000"/>
          <w:sz w:val="24"/>
        </w:rPr>
        <w:t>最不利的投资情形：如果本理财产品投资组合内所配置资产发生损失，则投资者可能无法获得理财产品投资收益，甚至损失全部理财本金，投资者应在对此风险有充分认识基础上谨慎投资。</w:t>
      </w:r>
    </w:p>
    <w:p>
      <w:pPr>
        <w:autoSpaceDE w:val="0"/>
        <w:autoSpaceDN w:val="0"/>
        <w:adjustRightInd w:val="0"/>
        <w:snapToGrid w:val="0"/>
        <w:spacing w:line="276" w:lineRule="auto"/>
        <w:ind w:firstLine="482" w:firstLineChars="200"/>
        <w:contextualSpacing/>
        <w:rPr>
          <w:rFonts w:eastAsia="黑体"/>
          <w:b/>
        </w:rPr>
      </w:pPr>
      <w:r>
        <w:rPr>
          <w:rFonts w:hint="eastAsia" w:eastAsia="黑体"/>
          <w:b/>
          <w:color w:val="000000"/>
          <w:sz w:val="24"/>
        </w:rPr>
        <w:t>本产品说明书中的任何业绩比较基准、收益示例或类似表述均不具有法律约束力，不代表投资者可能获得的实际收益，亦不构成华夏理财/代销机构对本理财产品的任何收益承诺。</w:t>
      </w:r>
    </w:p>
    <w:p>
      <w:pPr>
        <w:pStyle w:val="22"/>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七</w:t>
      </w:r>
      <w:r>
        <w:rPr>
          <w:rFonts w:ascii="Times New Roman" w:eastAsia="黑体" w:cs="Times New Roman"/>
          <w:b/>
          <w:color w:val="auto"/>
        </w:rPr>
        <w:t>、理财产品估值</w:t>
      </w:r>
    </w:p>
    <w:p>
      <w:pPr>
        <w:pStyle w:val="22"/>
        <w:snapToGrid w:val="0"/>
        <w:spacing w:line="276" w:lineRule="auto"/>
        <w:ind w:firstLine="480" w:firstLineChars="200"/>
        <w:contextualSpacing/>
        <w:outlineLvl w:val="1"/>
        <w:rPr>
          <w:rFonts w:ascii="仿宋" w:hAnsi="仿宋" w:eastAsia="仿宋"/>
        </w:rPr>
      </w:pPr>
      <w:r>
        <w:rPr>
          <w:rFonts w:hint="eastAsia" w:ascii="仿宋" w:hAnsi="仿宋" w:eastAsia="仿宋"/>
        </w:rPr>
        <w:t>（一）估值对象</w:t>
      </w:r>
    </w:p>
    <w:p>
      <w:pPr>
        <w:pStyle w:val="22"/>
        <w:snapToGrid w:val="0"/>
        <w:spacing w:line="276" w:lineRule="auto"/>
        <w:ind w:firstLine="480" w:firstLineChars="200"/>
        <w:contextualSpacing/>
        <w:rPr>
          <w:rFonts w:ascii="仿宋" w:hAnsi="仿宋" w:eastAsia="仿宋"/>
        </w:rPr>
      </w:pPr>
      <w:r>
        <w:rPr>
          <w:rFonts w:hint="eastAsia" w:ascii="仿宋" w:hAnsi="仿宋" w:eastAsia="仿宋"/>
        </w:rPr>
        <w:t>本理财产品所投资的货币市场工具、标准化债权类资产以及资产管理产品等资产。</w:t>
      </w:r>
    </w:p>
    <w:p>
      <w:pPr>
        <w:pStyle w:val="22"/>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（二）估值原则</w:t>
      </w:r>
    </w:p>
    <w:p>
      <w:pPr>
        <w:pStyle w:val="22"/>
        <w:snapToGrid w:val="0"/>
        <w:spacing w:line="276" w:lineRule="auto"/>
        <w:ind w:firstLine="480" w:firstLineChars="200"/>
        <w:contextualSpacing/>
        <w:rPr>
          <w:rFonts w:ascii="仿宋" w:hAnsi="仿宋" w:eastAsia="仿宋"/>
        </w:rPr>
      </w:pPr>
      <w:r>
        <w:rPr>
          <w:rFonts w:hint="eastAsia" w:ascii="仿宋" w:hAnsi="仿宋" w:eastAsia="仿宋"/>
          <w:color w:val="auto"/>
        </w:rPr>
        <w:t>理财</w:t>
      </w:r>
      <w:r>
        <w:rPr>
          <w:rFonts w:ascii="仿宋" w:hAnsi="仿宋" w:eastAsia="仿宋"/>
          <w:color w:val="auto"/>
        </w:rPr>
        <w:t>产品估值的目的是公允、合理地反映理财产品的价值</w:t>
      </w:r>
      <w:r>
        <w:rPr>
          <w:rFonts w:hint="eastAsia" w:ascii="仿宋" w:hAnsi="仿宋" w:eastAsia="仿宋"/>
          <w:color w:val="auto"/>
        </w:rPr>
        <w:t>。估值</w:t>
      </w:r>
      <w:r>
        <w:rPr>
          <w:rFonts w:ascii="仿宋" w:hAnsi="仿宋" w:eastAsia="仿宋"/>
          <w:color w:val="auto"/>
        </w:rPr>
        <w:t>中坚持公允价值计量原则。金融</w:t>
      </w:r>
      <w:r>
        <w:rPr>
          <w:rFonts w:hint="eastAsia" w:ascii="仿宋" w:hAnsi="仿宋" w:eastAsia="仿宋"/>
          <w:color w:val="auto"/>
        </w:rPr>
        <w:t>资产</w:t>
      </w:r>
      <w:r>
        <w:rPr>
          <w:rFonts w:ascii="仿宋" w:hAnsi="仿宋" w:eastAsia="仿宋"/>
          <w:color w:val="auto"/>
        </w:rPr>
        <w:t>的公允价值确定方法应与理财产品的类型相匹配。</w:t>
      </w:r>
    </w:p>
    <w:p>
      <w:pPr>
        <w:pStyle w:val="22"/>
        <w:snapToGrid w:val="0"/>
        <w:spacing w:line="276" w:lineRule="auto"/>
        <w:ind w:firstLine="480" w:firstLineChars="200"/>
        <w:contextualSpacing/>
        <w:outlineLvl w:val="1"/>
        <w:rPr>
          <w:rFonts w:ascii="仿宋" w:hAnsi="仿宋" w:eastAsia="仿宋"/>
        </w:rPr>
      </w:pPr>
      <w:r>
        <w:rPr>
          <w:rFonts w:hint="eastAsia" w:ascii="仿宋" w:hAnsi="仿宋" w:eastAsia="仿宋"/>
        </w:rPr>
        <w:t>（三）估值方法</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 证券交易所上市的有价证券</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交易所上市的有价证券（包括股票等），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在交易所上市交易或挂牌转让的固定收益品种，采用中证指数有限公司提供的估值价确定公允价值。若中证指数有限公司未提供价格数据，应采用估值技术确认公允价值，或者采用管理人和托管人共同认可的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在交易所市场上市的含有转股权的债券（如可转换债券、可交换债券等）等，选取每日收盘价减去所含的应收利息得到的净价进行估值。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 处于未上市期间的有价证券应区分如下情况处理：</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（1）送股、转增股、配股和公开增发的新股，按估值日在证券交易所挂牌的同一股票的市价（收盘价）估值；该日无交易的，以最近一日的市价（收盘价）估值；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（2）首次公开发行未上市的股票、债券和权证，采用估值技术确定公允价值，在估值技术难以可靠计量公允价值的情况下，采用管理人和托管人共同认可的第三方机构提供的估值，或双方共同认可的估值；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（3）优先股采用估值技术确认公允价值，在估值技术难以可靠计量公允价值的情况下，采用管理人和托管人共同认可的第三方机构提供的估值，或双方共同认可的估值；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流通受限股票，包括但不限于非公开发行股票、公开发行有一定锁定期的股票、首次公开发行股票时公司股东公开发售股份、通过大宗交易取得的带限售期的股票等，不包括停牌、新发行未上市、回购交易中的质押券等流通受限股票，应以证券交易所上市交易的同一股票的公允价值为基础，引入第三方机构提供的流动性折扣进行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 全国银行间债券市场交易的债券、资产支持证券等固定收益品种，采用中债金融估值中心有限公司提供的估值价确定公允价值。若中债金融估值中心有限公司未提供价格数据，应采用估值技术确认公允价值，或者管理人和托管人共同认可的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 同一债券同时在两个或两个以上市场交易的，按债券所处的市场分别估值。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 证券投资基金的估值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（1）场外申赎的开放式非货币基金以估值日可获取的基金管理人公布的最新基金份额净值估值；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（2）上市流通的证券投资基金（包括场内买入的ETF、封闭式基金、上市定期开放式基金）按估值日其所在证券交易所的收盘价估值；估值日无交易的，以最近一个交易日的收盘价估值；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（3）货币基金以估值日可获取的基金管理人公布的最新万份收益计提红利。</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 银行存款（活期、定期）及证券资金账户存款以本金列示，按照约定利率在持有期内逐日计提应收利息，在利息到账日以实收利息入账；在上述表述无法真实反映公允价值的情况下，按照国家法律、法规和部门规章的最新规定进行合理的会计处理。</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 债券回购和具有固定回报的买入返售金融资产：以买入/外放成本列示，按约定收益率逐日计提收益；在上述表述无法真实反映公允价值的情况下，按照国家法律、法规和部门规章的最新规定进行合理的会计处理。</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8. 期货以估值日期货交易所的当日结算价估值，估值当日无结算价的，且最近交易日后经济环境未发生重大变化的，采用最近交易日结算价估值。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9. 汇率估值方法</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若沪港通和深港通估值计算中涉及港币的，将以中国人民银行授权中国外汇交易中心估值日公布的港币对人民币汇率中间价估值。涉及其他货币的，如中国人民银行授权中国外汇交易中心估值日提供了该币种兑人民币的汇率，则取该汇率，如未有提供，以双方协商一致的原则确定汇率。</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10. 场内期权以估值日交易所的结算价估值，该日无交易的，以最近一日的结算价为准。</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11. 非标准化债权类资产采用估值技术确认公允价值，在估值技术难以可靠计量公允价值的情况下，按照管理人和托管人共同认可的估值。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12.以摊余成本法计量或以公允价值计量且其变动计入其他综合收益的资产，需按照会计准则规定采用合理的减值计量模型或第三方减值计量结果进行减值计提。计提减值不等同于金融资产已发生损失，仅为对未来风险的审慎预期。</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13. 本系列产品所投资的资产管理产品以估值日公布的产品单位净值进行估值，估值日产品单位净值未公布的，以最近一个工作日产品单位净值计算。</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14. 相关法律法规以及监管部门有强制规定的，从其规定。如有新增事项或变更事项，依法按最新规定计算。没有相关规定的，由产品管理人与托管人协商确定计算方法。</w:t>
      </w:r>
    </w:p>
    <w:p>
      <w:pPr>
        <w:pStyle w:val="22"/>
        <w:snapToGrid w:val="0"/>
        <w:spacing w:line="276" w:lineRule="auto"/>
        <w:ind w:firstLine="480" w:firstLineChars="200"/>
        <w:contextualSpacing/>
        <w:rPr>
          <w:rFonts w:ascii="仿宋" w:hAnsi="仿宋" w:eastAsia="仿宋"/>
        </w:rPr>
      </w:pPr>
      <w:r>
        <w:rPr>
          <w:rFonts w:hint="eastAsia" w:ascii="仿宋" w:hAnsi="仿宋" w:eastAsia="仿宋"/>
        </w:rPr>
        <w:t>15. 如有确凿证据表明按上述规定不能客观反映理财产品财产公允价值的，产品管理人可根据具体情况，在与托管人商议后，按最能反映理财产品财产公允价值的方法估值。即使存在上述情况，产品管理人或托管人若采用上述规定的方法为理财产品财产进行了估值，仍应被认为采用了适当的估值方法。</w:t>
      </w:r>
    </w:p>
    <w:p>
      <w:pPr>
        <w:pStyle w:val="22"/>
        <w:snapToGrid w:val="0"/>
        <w:spacing w:line="276" w:lineRule="auto"/>
        <w:ind w:firstLine="482" w:firstLineChars="200"/>
        <w:contextualSpacing/>
        <w:rPr>
          <w:rFonts w:ascii="仿宋" w:hAnsi="仿宋" w:eastAsia="仿宋"/>
        </w:rPr>
      </w:pPr>
      <w:r>
        <w:rPr>
          <w:rFonts w:hint="eastAsia" w:ascii="仿宋" w:hAnsi="仿宋" w:eastAsia="仿宋"/>
          <w:b/>
          <w:bCs/>
        </w:rPr>
        <w:t>以上“理财产品估值”章节所列的投资品种不代表本理财产品的实际投资范围，本产品实际可投资范围以本产品说明书“投资对象”章节列示为准。</w:t>
      </w:r>
    </w:p>
    <w:p>
      <w:pPr>
        <w:pStyle w:val="22"/>
        <w:snapToGrid w:val="0"/>
        <w:spacing w:line="276" w:lineRule="auto"/>
        <w:ind w:firstLine="480" w:firstLineChars="200"/>
        <w:contextualSpacing/>
        <w:outlineLvl w:val="1"/>
        <w:rPr>
          <w:rFonts w:ascii="仿宋" w:hAnsi="仿宋" w:eastAsia="仿宋"/>
        </w:rPr>
      </w:pPr>
      <w:r>
        <w:rPr>
          <w:rFonts w:hint="eastAsia" w:ascii="仿宋" w:hAnsi="仿宋" w:eastAsia="仿宋"/>
        </w:rPr>
        <w:t>（四）暂停</w:t>
      </w:r>
      <w:r>
        <w:rPr>
          <w:rFonts w:ascii="仿宋" w:hAnsi="仿宋" w:eastAsia="仿宋"/>
        </w:rPr>
        <w:t>估值</w:t>
      </w:r>
    </w:p>
    <w:p>
      <w:pPr>
        <w:pStyle w:val="22"/>
        <w:snapToGrid w:val="0"/>
        <w:spacing w:line="276" w:lineRule="auto"/>
        <w:ind w:firstLine="482" w:firstLineChars="200"/>
        <w:contextualSpacing/>
        <w:rPr>
          <w:rFonts w:ascii="仿宋" w:hAnsi="仿宋" w:eastAsia="仿宋"/>
          <w:b/>
          <w:bCs/>
        </w:rPr>
      </w:pPr>
      <w:r>
        <w:rPr>
          <w:rFonts w:hint="eastAsia" w:ascii="仿宋" w:hAnsi="仿宋" w:eastAsia="仿宋"/>
          <w:b/>
          <w:bCs/>
        </w:rPr>
        <w:t>在发生下列情形之一的，</w:t>
      </w:r>
      <w:r>
        <w:rPr>
          <w:rFonts w:ascii="仿宋" w:hAnsi="仿宋" w:eastAsia="仿宋"/>
          <w:b/>
          <w:bCs/>
        </w:rPr>
        <w:t>管理人</w:t>
      </w:r>
      <w:r>
        <w:rPr>
          <w:rFonts w:hint="eastAsia" w:ascii="仿宋" w:hAnsi="仿宋" w:eastAsia="仿宋"/>
          <w:b/>
          <w:bCs/>
        </w:rPr>
        <w:t>可以暂停本理财产品</w:t>
      </w:r>
      <w:r>
        <w:rPr>
          <w:rFonts w:ascii="仿宋" w:hAnsi="仿宋" w:eastAsia="仿宋"/>
          <w:b/>
          <w:bCs/>
        </w:rPr>
        <w:t>估值</w:t>
      </w:r>
      <w:r>
        <w:rPr>
          <w:rFonts w:hint="eastAsia" w:ascii="仿宋" w:hAnsi="仿宋" w:eastAsia="仿宋"/>
          <w:b/>
          <w:bCs/>
        </w:rPr>
        <w:t>：</w:t>
      </w:r>
    </w:p>
    <w:p>
      <w:pPr>
        <w:pStyle w:val="22"/>
        <w:snapToGrid w:val="0"/>
        <w:spacing w:line="276" w:lineRule="auto"/>
        <w:ind w:firstLine="480" w:firstLineChars="200"/>
        <w:contextualSpacing/>
        <w:rPr>
          <w:rFonts w:ascii="仿宋" w:hAnsi="仿宋" w:eastAsia="仿宋"/>
        </w:rPr>
      </w:pPr>
      <w:r>
        <w:rPr>
          <w:rFonts w:hint="eastAsia" w:ascii="仿宋" w:hAnsi="仿宋" w:eastAsia="仿宋"/>
        </w:rPr>
        <w:t>1．理财产品投资所涉及的市场遇法定节假日或因其他原因暂停营业。</w:t>
      </w:r>
    </w:p>
    <w:p>
      <w:pPr>
        <w:pStyle w:val="22"/>
        <w:snapToGrid w:val="0"/>
        <w:spacing w:line="276" w:lineRule="auto"/>
        <w:ind w:firstLine="480" w:firstLineChars="200"/>
        <w:contextualSpacing/>
        <w:rPr>
          <w:rFonts w:ascii="仿宋" w:hAnsi="仿宋" w:eastAsia="仿宋"/>
        </w:rPr>
      </w:pPr>
      <w:r>
        <w:rPr>
          <w:rFonts w:hint="eastAsia" w:ascii="仿宋" w:hAnsi="仿宋" w:eastAsia="仿宋"/>
        </w:rPr>
        <w:t>2．因不可抗力或其他情形致使管理人、托管人无法准确评估资产价值。</w:t>
      </w:r>
    </w:p>
    <w:p>
      <w:pPr>
        <w:pStyle w:val="22"/>
        <w:snapToGrid w:val="0"/>
        <w:spacing w:line="276" w:lineRule="auto"/>
        <w:ind w:firstLine="480" w:firstLineChars="200"/>
        <w:contextualSpacing/>
        <w:rPr>
          <w:rFonts w:ascii="仿宋" w:hAnsi="仿宋" w:eastAsia="仿宋"/>
        </w:rPr>
      </w:pPr>
      <w:r>
        <w:rPr>
          <w:rFonts w:hint="eastAsia" w:ascii="仿宋" w:hAnsi="仿宋" w:eastAsia="仿宋"/>
        </w:rPr>
        <w:t>3．占前一估值日资产净值50%以上的资产不具备活跃交易市场或者在活跃市场中无报价且采用估值技术仍导致公允价值存在重大不确定性时，管理人为保障投资者的利益，经与托管人协商一致，理财产品应当暂停估值。</w:t>
      </w:r>
    </w:p>
    <w:p>
      <w:pPr>
        <w:pStyle w:val="22"/>
        <w:snapToGrid w:val="0"/>
        <w:spacing w:line="276" w:lineRule="auto"/>
        <w:ind w:firstLine="480" w:firstLineChars="200"/>
        <w:contextualSpacing/>
        <w:rPr>
          <w:rFonts w:ascii="仿宋" w:hAnsi="仿宋" w:eastAsia="仿宋"/>
        </w:rPr>
      </w:pPr>
      <w:r>
        <w:rPr>
          <w:rFonts w:hint="eastAsia" w:ascii="仿宋" w:hAnsi="仿宋" w:eastAsia="仿宋"/>
        </w:rPr>
        <w:t>4．监管机构认定或管理人、托管人有合理理由认为将影响本理财产品估值的其它情形。</w:t>
      </w:r>
    </w:p>
    <w:p>
      <w:pPr>
        <w:pStyle w:val="22"/>
        <w:snapToGrid w:val="0"/>
        <w:spacing w:line="276" w:lineRule="auto"/>
        <w:ind w:firstLine="480" w:firstLineChars="200"/>
        <w:contextualSpacing/>
        <w:outlineLvl w:val="1"/>
        <w:rPr>
          <w:rFonts w:ascii="仿宋" w:hAnsi="仿宋" w:eastAsia="仿宋"/>
        </w:rPr>
      </w:pPr>
      <w:r>
        <w:rPr>
          <w:rFonts w:hint="eastAsia" w:ascii="仿宋" w:hAnsi="仿宋" w:eastAsia="仿宋"/>
        </w:rPr>
        <w:t>（五）</w:t>
      </w:r>
      <w:r>
        <w:rPr>
          <w:rFonts w:ascii="仿宋" w:hAnsi="仿宋" w:eastAsia="仿宋"/>
        </w:rPr>
        <w:t>估值</w:t>
      </w:r>
      <w:r>
        <w:rPr>
          <w:rFonts w:hint="eastAsia" w:ascii="仿宋" w:hAnsi="仿宋" w:eastAsia="仿宋"/>
        </w:rPr>
        <w:t>错误的</w:t>
      </w:r>
      <w:r>
        <w:rPr>
          <w:rFonts w:ascii="仿宋" w:hAnsi="仿宋" w:eastAsia="仿宋"/>
        </w:rPr>
        <w:t>处理</w:t>
      </w:r>
    </w:p>
    <w:p>
      <w:pPr>
        <w:pStyle w:val="22"/>
        <w:snapToGrid w:val="0"/>
        <w:spacing w:line="276" w:lineRule="auto"/>
        <w:ind w:firstLine="480" w:firstLineChars="200"/>
        <w:contextualSpacing/>
        <w:rPr>
          <w:rFonts w:ascii="Times New Roman" w:eastAsia="黑体" w:cs="Times New Roman"/>
          <w:b/>
          <w:color w:val="auto"/>
        </w:rPr>
      </w:pPr>
      <w:r>
        <w:rPr>
          <w:rFonts w:hint="eastAsia" w:ascii="仿宋" w:hAnsi="仿宋" w:eastAsia="仿宋" w:cs="仿宋"/>
        </w:rPr>
        <w:t>管理人和托管人将采取必要、适当合理的措施确保产品资产估值的准确性、及时性。当份额净值出现错误时，管理人应当立即予以纠正，并采取合理的措施防止损失进一步扩大；由此导致投资者遭受损失的，由估值错误责任方按照过错程度各自对该估值错误导致投资者遭受的直接损失承担赔偿责任。由于本理财产品估值所用的价格来源出现错误，或由于其它不可抗力原因，管理人和托管人虽然已经采取必要、适当、合理的措施进行检查，但是未能发现该错误的，由此造成的产品资产估值错误，管理人和托管人可以免除赔偿责任。但管理人和托管人应当积极采取必要的措施消除由此造成的影响。</w:t>
      </w:r>
      <w:r>
        <w:rPr>
          <w:rFonts w:hint="eastAsia" w:ascii="仿宋" w:hAnsi="仿宋" w:eastAsia="仿宋" w:cs="仿宋"/>
          <w:b/>
        </w:rPr>
        <w:t>当估值出现错误时，因估值错误而获得不当得利的投资者负有及时返还不当得利的义务。</w:t>
      </w:r>
    </w:p>
    <w:p>
      <w:pPr>
        <w:pStyle w:val="22"/>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八、</w:t>
      </w:r>
      <w:r>
        <w:rPr>
          <w:rFonts w:ascii="Times New Roman" w:eastAsia="黑体" w:cs="Times New Roman"/>
          <w:b/>
          <w:color w:val="auto"/>
        </w:rPr>
        <w:t>风险揭示</w:t>
      </w:r>
    </w:p>
    <w:p>
      <w:pPr>
        <w:pStyle w:val="22"/>
        <w:snapToGrid w:val="0"/>
        <w:spacing w:line="276" w:lineRule="auto"/>
        <w:ind w:firstLine="480" w:firstLineChars="200"/>
        <w:contextualSpacing/>
        <w:jc w:val="both"/>
        <w:rPr>
          <w:rFonts w:ascii="Times New Roman" w:eastAsia="黑体" w:cs="Times New Roman"/>
        </w:rPr>
      </w:pPr>
      <w:r>
        <w:rPr>
          <w:rFonts w:ascii="仿宋" w:hAnsi="仿宋" w:eastAsia="仿宋"/>
        </w:rPr>
        <w:t>本理财产品</w:t>
      </w:r>
      <w:r>
        <w:rPr>
          <w:rFonts w:hint="eastAsia" w:ascii="仿宋" w:hAnsi="仿宋" w:eastAsia="仿宋"/>
        </w:rPr>
        <w:t>为非保本浮动收益净值型</w:t>
      </w:r>
      <w:r>
        <w:rPr>
          <w:rFonts w:ascii="仿宋" w:hAnsi="仿宋" w:eastAsia="仿宋"/>
        </w:rPr>
        <w:t>理财产品，根据法律法规及监管要求的有关规定，特向</w:t>
      </w:r>
      <w:r>
        <w:rPr>
          <w:rFonts w:hint="eastAsia" w:ascii="仿宋" w:hAnsi="仿宋" w:eastAsia="仿宋"/>
        </w:rPr>
        <w:t>投资者</w:t>
      </w:r>
      <w:r>
        <w:rPr>
          <w:rFonts w:ascii="仿宋" w:hAnsi="仿宋" w:eastAsia="仿宋"/>
        </w:rPr>
        <w:t>提示如下：与银行存款比较，本理财产品存在投资风险，</w:t>
      </w:r>
      <w:r>
        <w:rPr>
          <w:rFonts w:hint="eastAsia" w:ascii="仿宋" w:hAnsi="仿宋" w:eastAsia="仿宋"/>
        </w:rPr>
        <w:t>投资者</w:t>
      </w:r>
      <w:r>
        <w:rPr>
          <w:rFonts w:ascii="仿宋" w:hAnsi="仿宋" w:eastAsia="仿宋"/>
        </w:rPr>
        <w:t>的本金和收益可能会因市场变动等原因而蒙受损失，</w:t>
      </w:r>
      <w:r>
        <w:rPr>
          <w:rFonts w:hint="eastAsia" w:ascii="仿宋" w:hAnsi="仿宋" w:eastAsia="仿宋"/>
        </w:rPr>
        <w:t>投资者</w:t>
      </w:r>
      <w:r>
        <w:rPr>
          <w:rFonts w:ascii="仿宋" w:hAnsi="仿宋" w:eastAsia="仿宋"/>
        </w:rPr>
        <w:t>应充分认识投资风险，谨慎投资。本理财产品可能面临的风险主要包括：</w:t>
      </w:r>
    </w:p>
    <w:p>
      <w:pPr>
        <w:pStyle w:val="22"/>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（一）本金及理财收益风险：本理财产品不保证本金及理财收益，理财产品收益来源于本理财产品项下投资组合的回报，容易受到企业信用状况变化、市场利率变化、</w:t>
      </w:r>
      <w:r>
        <w:rPr>
          <w:rFonts w:hint="eastAsia" w:ascii="Times New Roman" w:eastAsia="黑体" w:cs="Times New Roman"/>
          <w:b/>
          <w:color w:val="auto"/>
        </w:rPr>
        <w:t>汇率变化、</w:t>
      </w:r>
      <w:r>
        <w:rPr>
          <w:rFonts w:hint="eastAsia" w:ascii="Times New Roman" w:eastAsia="黑体" w:cs="Times New Roman"/>
          <w:b/>
        </w:rPr>
        <w:t>投资组合运作情况以及管理人投资能力等</w:t>
      </w:r>
      <w:r>
        <w:rPr>
          <w:rFonts w:ascii="Times New Roman" w:eastAsia="黑体" w:cs="Times New Roman"/>
          <w:b/>
        </w:rPr>
        <w:t>因素</w:t>
      </w:r>
      <w:r>
        <w:rPr>
          <w:rFonts w:hint="eastAsia" w:ascii="Times New Roman" w:eastAsia="黑体" w:cs="Times New Roman"/>
          <w:b/>
        </w:rPr>
        <w:t>的影响。在最不利的情况下，投资者可能无法获得理财产品投资收益，甚至损失全部理财本金，由此产生的风险由投资者自行承担。</w:t>
      </w:r>
    </w:p>
    <w:p>
      <w:pPr>
        <w:pStyle w:val="22"/>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（二）信用风险：如理财产品</w:t>
      </w:r>
      <w:bookmarkStart w:id="1" w:name="_Hlk76300274"/>
      <w:r>
        <w:rPr>
          <w:rFonts w:hint="eastAsia" w:ascii="Times New Roman" w:eastAsia="黑体" w:cs="Times New Roman"/>
          <w:b/>
          <w:color w:val="auto"/>
        </w:rPr>
        <w:t>所投资的资产</w:t>
      </w:r>
      <w:bookmarkEnd w:id="1"/>
      <w:r>
        <w:rPr>
          <w:rFonts w:hint="eastAsia" w:ascii="Times New Roman" w:eastAsia="黑体" w:cs="Times New Roman"/>
          <w:b/>
          <w:color w:val="auto"/>
        </w:rPr>
        <w:t>发行人、</w:t>
      </w:r>
      <w:r>
        <w:rPr>
          <w:rFonts w:hint="eastAsia" w:ascii="Times New Roman" w:eastAsia="黑体" w:cs="Times New Roman"/>
          <w:b/>
        </w:rPr>
        <w:t>资产管理计划管理人、信托受托人、债务人、担保人（如有）等相关主体发生违约，可能导致无法按时支付本金及理财收益，进而导致本理财产品收益为零甚至本金遭受损失。</w:t>
      </w:r>
    </w:p>
    <w:p>
      <w:pPr>
        <w:pStyle w:val="22"/>
        <w:snapToGrid w:val="0"/>
        <w:spacing w:line="276" w:lineRule="auto"/>
        <w:ind w:firstLine="482" w:firstLineChars="200"/>
        <w:contextualSpacing/>
        <w:jc w:val="both"/>
        <w:rPr>
          <w:rFonts w:ascii="Times New Roman" w:eastAsia="黑体" w:cs="Times New Roman"/>
          <w:b/>
        </w:rPr>
      </w:pPr>
      <w:r>
        <w:rPr>
          <w:rFonts w:ascii="Times New Roman" w:eastAsia="黑体" w:cs="Times New Roman"/>
          <w:b/>
        </w:rPr>
        <w:t>（三）市场风险：本理财产品为非保本浮动收益净值型理财产品，不排除因</w:t>
      </w:r>
      <w:r>
        <w:rPr>
          <w:rFonts w:hint="eastAsia" w:ascii="Times New Roman" w:eastAsia="黑体" w:cs="Times New Roman"/>
          <w:b/>
        </w:rPr>
        <w:t>资产</w:t>
      </w:r>
      <w:r>
        <w:rPr>
          <w:rFonts w:ascii="Times New Roman" w:eastAsia="黑体" w:cs="Times New Roman"/>
          <w:b/>
        </w:rPr>
        <w:t>价格、利率、信用</w:t>
      </w:r>
      <w:r>
        <w:rPr>
          <w:rFonts w:hint="eastAsia" w:ascii="Times New Roman" w:eastAsia="黑体" w:cs="Times New Roman"/>
          <w:b/>
          <w:color w:val="auto"/>
        </w:rPr>
        <w:t>、汇率</w:t>
      </w:r>
      <w:r>
        <w:rPr>
          <w:rFonts w:ascii="Times New Roman" w:eastAsia="黑体" w:cs="Times New Roman"/>
          <w:b/>
        </w:rPr>
        <w:t>以及国家政策等的变动导致本理财产品净值遭受损失的可能。</w:t>
      </w:r>
    </w:p>
    <w:p>
      <w:pPr>
        <w:pStyle w:val="22"/>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（四）流动性风险：</w:t>
      </w:r>
      <w:r>
        <w:rPr>
          <w:rFonts w:ascii="Times New Roman" w:eastAsia="黑体" w:cs="Times New Roman"/>
          <w:b/>
        </w:rPr>
        <w:t>本理财产品为</w:t>
      </w:r>
      <w:r>
        <w:rPr>
          <w:rFonts w:hint="eastAsia" w:ascii="Times New Roman" w:eastAsia="黑体" w:cs="Times New Roman"/>
          <w:b/>
        </w:rPr>
        <w:t>开放式</w:t>
      </w:r>
      <w:r>
        <w:rPr>
          <w:rFonts w:ascii="Times New Roman" w:eastAsia="黑体" w:cs="Times New Roman"/>
          <w:b/>
        </w:rPr>
        <w:t>净值型理财产品，投资者无权随时终止</w:t>
      </w:r>
      <w:r>
        <w:rPr>
          <w:rFonts w:hint="eastAsia" w:ascii="Times New Roman" w:eastAsia="黑体" w:cs="Times New Roman"/>
          <w:b/>
        </w:rPr>
        <w:t>本</w:t>
      </w:r>
      <w:r>
        <w:rPr>
          <w:rFonts w:ascii="Times New Roman" w:eastAsia="黑体" w:cs="Times New Roman"/>
          <w:b/>
        </w:rPr>
        <w:t>理财产品，</w:t>
      </w:r>
      <w:r>
        <w:rPr>
          <w:rFonts w:hint="eastAsia" w:ascii="Times New Roman" w:eastAsia="黑体" w:cs="Times New Roman"/>
          <w:b/>
        </w:rPr>
        <w:t>只能在本产品说明书规定的开放日及开放时间内办理申购与赎回</w:t>
      </w:r>
      <w:r>
        <w:rPr>
          <w:rFonts w:hint="eastAsia" w:eastAsia="黑体"/>
          <w:b/>
        </w:rPr>
        <w:t>。除本产品说明书规定情形以外，</w:t>
      </w:r>
      <w:r>
        <w:rPr>
          <w:rFonts w:eastAsia="黑体"/>
          <w:b/>
        </w:rPr>
        <w:t>封闭期</w:t>
      </w:r>
      <w:r>
        <w:rPr>
          <w:rFonts w:hint="eastAsia" w:eastAsia="黑体"/>
          <w:b/>
        </w:rPr>
        <w:t>或最短持有期内产品管理人</w:t>
      </w:r>
      <w:r>
        <w:rPr>
          <w:rFonts w:eastAsia="黑体"/>
          <w:b/>
        </w:rPr>
        <w:t>不受理</w:t>
      </w:r>
      <w:r>
        <w:rPr>
          <w:rFonts w:hint="eastAsia" w:eastAsia="黑体"/>
          <w:b/>
        </w:rPr>
        <w:t>投资者</w:t>
      </w:r>
      <w:r>
        <w:rPr>
          <w:rFonts w:eastAsia="黑体"/>
          <w:b/>
        </w:rPr>
        <w:t>任何形式的提前赎回申请。以上情形均</w:t>
      </w:r>
      <w:r>
        <w:rPr>
          <w:rFonts w:hint="eastAsia" w:ascii="Times New Roman" w:eastAsia="黑体" w:cs="Times New Roman"/>
          <w:b/>
        </w:rPr>
        <w:t>可能影响投资者的资金安排，带来流动性风险</w:t>
      </w:r>
      <w:r>
        <w:rPr>
          <w:rFonts w:ascii="Times New Roman" w:eastAsia="黑体" w:cs="Times New Roman"/>
          <w:b/>
        </w:rPr>
        <w:t>。</w:t>
      </w:r>
    </w:p>
    <w:p>
      <w:pPr>
        <w:pStyle w:val="22"/>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五）投资风险：本理财产品的实际收益率取决于所投资金融工具的收益率，投资者应对此有充分的认识。除本产品说明书中明确规定的收益或收益分配方式外，任何业绩比较基准、收益示例或类似表述均不具有法律约束力，不代表投资者可能获得的实际收益，亦不构成华夏理财/代销机构对本理财产品的任何收益承诺。</w:t>
      </w:r>
    </w:p>
    <w:p>
      <w:pPr>
        <w:pStyle w:val="22"/>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color w:val="auto"/>
        </w:rPr>
        <w:t>（六）汇率风险：</w:t>
      </w:r>
      <w:r>
        <w:rPr>
          <w:rFonts w:hint="eastAsia" w:ascii="Times New Roman" w:hAnsi="Calibri" w:eastAsia="黑体" w:cs="Times New Roman"/>
          <w:b/>
          <w:color w:val="auto"/>
        </w:rPr>
        <w:t>投资境外资产时，以非本币计价的各类资产受汇率波动影响而引起本币估值下的委托财产的价格波动的风险。若本理财产品的投资及收益币种是人民币，在以人民币投资外汇计价资产时，除了投资资产本身的收益或损失外，汇率变化会带来额外的损失或收益，从而对投资者收益产生影响；反之亦然。</w:t>
      </w:r>
    </w:p>
    <w:p>
      <w:pPr>
        <w:pStyle w:val="22"/>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（七）法律及政策风险：本理财产品是根据当前的相关法规和政策设计的。如国家宏观政策以及市场相关法规政策发生变化，影响理财产品的受理、投资、偿还等的正常进行，</w:t>
      </w:r>
      <w:r>
        <w:rPr>
          <w:rFonts w:ascii="Times New Roman" w:eastAsia="黑体" w:cs="Times New Roman"/>
          <w:b/>
        </w:rPr>
        <w:t>可能影响本理财产品的投资运作和收益，甚至</w:t>
      </w:r>
      <w:r>
        <w:rPr>
          <w:rFonts w:hint="eastAsia" w:ascii="Times New Roman" w:eastAsia="黑体" w:cs="Times New Roman"/>
          <w:b/>
        </w:rPr>
        <w:t>造成</w:t>
      </w:r>
      <w:r>
        <w:rPr>
          <w:rFonts w:ascii="Times New Roman" w:eastAsia="黑体" w:cs="Times New Roman"/>
          <w:b/>
        </w:rPr>
        <w:t>本金损失。</w:t>
      </w:r>
    </w:p>
    <w:p>
      <w:pPr>
        <w:pStyle w:val="22"/>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（八）</w:t>
      </w:r>
      <w:r>
        <w:rPr>
          <w:rFonts w:ascii="Times New Roman" w:eastAsia="黑体" w:cs="Times New Roman"/>
          <w:b/>
        </w:rPr>
        <w:t>理财产品不成立风险：</w:t>
      </w:r>
      <w:r>
        <w:rPr>
          <w:rFonts w:hint="eastAsia" w:ascii="Times New Roman" w:eastAsia="黑体" w:cs="Times New Roman"/>
          <w:b/>
        </w:rPr>
        <w:t>募集期</w:t>
      </w:r>
      <w:r>
        <w:rPr>
          <w:rFonts w:ascii="Times New Roman" w:eastAsia="黑体" w:cs="Times New Roman"/>
          <w:b/>
        </w:rPr>
        <w:t>结束，如理财产品</w:t>
      </w:r>
      <w:r>
        <w:rPr>
          <w:rFonts w:hint="eastAsia" w:ascii="Times New Roman" w:eastAsia="黑体" w:cs="Times New Roman"/>
          <w:b/>
        </w:rPr>
        <w:t>募集</w:t>
      </w:r>
      <w:r>
        <w:rPr>
          <w:rFonts w:ascii="Times New Roman" w:eastAsia="黑体" w:cs="Times New Roman"/>
          <w:b/>
        </w:rPr>
        <w:t>总金额未达到发行</w:t>
      </w:r>
      <w:r>
        <w:rPr>
          <w:rFonts w:hint="eastAsia" w:ascii="Times New Roman" w:eastAsia="黑体" w:cs="Times New Roman"/>
          <w:b/>
        </w:rPr>
        <w:t>规模</w:t>
      </w:r>
      <w:r>
        <w:rPr>
          <w:rFonts w:ascii="Times New Roman" w:eastAsia="黑体" w:cs="Times New Roman"/>
          <w:b/>
        </w:rPr>
        <w:t>下限</w:t>
      </w:r>
      <w:r>
        <w:rPr>
          <w:rFonts w:hint="eastAsia" w:ascii="Times New Roman" w:eastAsia="黑体" w:cs="Times New Roman"/>
          <w:b/>
        </w:rPr>
        <w:t>；或者市场发生重大变化，华夏理财无法或者经其合理判断难以按照本产品说明书向投资者提供本理财产品；或者法律法规、监管规定、国家政策发生变化导致无法按照本产品说明书向投资者提供本理财产品，</w:t>
      </w:r>
      <w:r>
        <w:rPr>
          <w:rFonts w:ascii="Times New Roman" w:eastAsia="黑体" w:cs="Times New Roman"/>
          <w:b/>
        </w:rPr>
        <w:t>华夏</w:t>
      </w:r>
      <w:r>
        <w:rPr>
          <w:rFonts w:hint="eastAsia" w:ascii="Times New Roman" w:eastAsia="黑体" w:cs="Times New Roman"/>
          <w:b/>
        </w:rPr>
        <w:t>理财</w:t>
      </w:r>
      <w:r>
        <w:rPr>
          <w:rFonts w:ascii="Times New Roman" w:eastAsia="黑体" w:cs="Times New Roman"/>
          <w:b/>
        </w:rPr>
        <w:t>有权宣布本理财产品不成立。</w:t>
      </w:r>
    </w:p>
    <w:p>
      <w:pPr>
        <w:pStyle w:val="22"/>
        <w:snapToGrid w:val="0"/>
        <w:spacing w:line="276" w:lineRule="auto"/>
        <w:ind w:firstLine="482" w:firstLineChars="200"/>
        <w:contextualSpacing/>
        <w:jc w:val="both"/>
        <w:rPr>
          <w:rFonts w:ascii="Times New Roman" w:eastAsia="黑体" w:cs="Times New Roman"/>
          <w:b/>
        </w:rPr>
      </w:pPr>
      <w:r>
        <w:rPr>
          <w:rFonts w:ascii="Times New Roman" w:eastAsia="黑体" w:cs="Times New Roman"/>
          <w:b/>
        </w:rPr>
        <w:t>（</w:t>
      </w:r>
      <w:r>
        <w:rPr>
          <w:rFonts w:hint="eastAsia" w:ascii="Times New Roman" w:eastAsia="黑体" w:cs="Times New Roman"/>
          <w:b/>
        </w:rPr>
        <w:t>九</w:t>
      </w:r>
      <w:r>
        <w:rPr>
          <w:rFonts w:ascii="Times New Roman" w:eastAsia="黑体" w:cs="Times New Roman"/>
          <w:b/>
        </w:rPr>
        <w:t>）</w:t>
      </w:r>
      <w:r>
        <w:rPr>
          <w:rFonts w:hint="eastAsia" w:ascii="Times New Roman" w:eastAsia="黑体" w:cs="Times New Roman"/>
          <w:b/>
        </w:rPr>
        <w:t>提前终止风险：如遇前述提前</w:t>
      </w:r>
      <w:r>
        <w:rPr>
          <w:rFonts w:ascii="Times New Roman" w:eastAsia="黑体" w:cs="Times New Roman"/>
          <w:b/>
        </w:rPr>
        <w:t>终止权</w:t>
      </w:r>
      <w:r>
        <w:rPr>
          <w:rFonts w:hint="eastAsia" w:ascii="Times New Roman" w:eastAsia="黑体" w:cs="Times New Roman"/>
          <w:b/>
        </w:rPr>
        <w:t>条款中涉及</w:t>
      </w:r>
      <w:r>
        <w:rPr>
          <w:rFonts w:ascii="Times New Roman" w:eastAsia="黑体" w:cs="Times New Roman"/>
          <w:b/>
        </w:rPr>
        <w:t>的</w:t>
      </w:r>
      <w:r>
        <w:rPr>
          <w:rFonts w:hint="eastAsia" w:ascii="Times New Roman" w:eastAsia="黑体" w:cs="Times New Roman"/>
          <w:b/>
        </w:rPr>
        <w:t>情形，华夏理财有权提前终止本理财产品，投资者可能收益为零甚至损失理财本金。</w:t>
      </w:r>
    </w:p>
    <w:p>
      <w:pPr>
        <w:pStyle w:val="22"/>
        <w:snapToGrid w:val="0"/>
        <w:spacing w:line="276" w:lineRule="auto"/>
        <w:ind w:firstLine="482" w:firstLineChars="200"/>
        <w:contextualSpacing/>
        <w:jc w:val="both"/>
        <w:rPr>
          <w:rFonts w:ascii="Times New Roman" w:eastAsia="黑体" w:cs="Times New Roman"/>
          <w:b/>
        </w:rPr>
      </w:pPr>
      <w:r>
        <w:rPr>
          <w:rFonts w:hint="eastAsia" w:eastAsia="黑体"/>
          <w:b/>
        </w:rPr>
        <w:t>（十）延期风险：对于有确定到期日的理财产品，</w:t>
      </w:r>
      <w:r>
        <w:rPr>
          <w:rFonts w:eastAsia="黑体"/>
          <w:b/>
        </w:rPr>
        <w:t>如因与理财产品投资资产相关的</w:t>
      </w:r>
      <w:r>
        <w:rPr>
          <w:rFonts w:hint="eastAsia" w:eastAsia="黑体"/>
          <w:b/>
        </w:rPr>
        <w:t>资产管理计划管理人、</w:t>
      </w:r>
      <w:r>
        <w:rPr>
          <w:rFonts w:eastAsia="黑体"/>
          <w:b/>
        </w:rPr>
        <w:t>信托受托人、债务人、担保人（如有）等主体发生违约，导致本理财产品不能按时偿</w:t>
      </w:r>
      <w:r>
        <w:rPr>
          <w:rFonts w:hint="eastAsia" w:eastAsia="黑体"/>
          <w:b/>
        </w:rPr>
        <w:t>付理财</w:t>
      </w:r>
      <w:r>
        <w:rPr>
          <w:rFonts w:eastAsia="黑体"/>
          <w:b/>
        </w:rPr>
        <w:t>本金及收益</w:t>
      </w:r>
      <w:r>
        <w:rPr>
          <w:rFonts w:hint="eastAsia" w:eastAsia="黑体"/>
          <w:b/>
        </w:rPr>
        <w:t>；或因市场成交量不足、资产限制赎回、暂停交易、缺乏意愿交易对手等原因，管理人未能及时完成资产变现，则本</w:t>
      </w:r>
      <w:r>
        <w:rPr>
          <w:rFonts w:eastAsia="黑体"/>
          <w:b/>
        </w:rPr>
        <w:t>理财</w:t>
      </w:r>
      <w:r>
        <w:rPr>
          <w:rFonts w:hint="eastAsia" w:eastAsia="黑体"/>
          <w:b/>
        </w:rPr>
        <w:t>产品</w:t>
      </w:r>
      <w:r>
        <w:rPr>
          <w:rFonts w:eastAsia="黑体"/>
          <w:b/>
        </w:rPr>
        <w:t>期限将相应延长。</w:t>
      </w:r>
    </w:p>
    <w:p>
      <w:pPr>
        <w:pStyle w:val="22"/>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十一）信息传递风险：华夏理财按照本产品说明书有关信息披露的约定，发布理财产品信息。投资者应根据本产品说明书有关信息披露的约定及时查询。如果投资者未及时查询而未能及时了解理财产品信息，并由此影响投资者的投资决策，因此产生的责任和风险由投资者自行承担。另外，投资者预留在</w:t>
      </w:r>
      <w:bookmarkStart w:id="2" w:name="_Hlk76301212"/>
      <w:r>
        <w:rPr>
          <w:rFonts w:hint="eastAsia" w:ascii="Times New Roman" w:eastAsia="黑体" w:cs="Times New Roman"/>
          <w:b/>
          <w:color w:val="auto"/>
        </w:rPr>
        <w:t>华夏理财/代销机构</w:t>
      </w:r>
      <w:bookmarkEnd w:id="2"/>
      <w:r>
        <w:rPr>
          <w:rFonts w:hint="eastAsia" w:ascii="Times New Roman" w:eastAsia="黑体" w:cs="Times New Roman"/>
          <w:b/>
        </w:rPr>
        <w:t>的有效联系方式变更的，应及时通知</w:t>
      </w:r>
      <w:r>
        <w:rPr>
          <w:rFonts w:hint="eastAsia" w:ascii="Times New Roman" w:eastAsia="黑体" w:cs="Times New Roman"/>
          <w:b/>
          <w:color w:val="auto"/>
        </w:rPr>
        <w:t>华夏理财/代销机构</w:t>
      </w:r>
      <w:r>
        <w:rPr>
          <w:rFonts w:hint="eastAsia" w:ascii="Times New Roman" w:eastAsia="黑体" w:cs="Times New Roman"/>
          <w:b/>
        </w:rPr>
        <w:t>。因投资者未及时告知导致的信息传递失败的风险由投资者自行承担。</w:t>
      </w:r>
    </w:p>
    <w:p>
      <w:pPr>
        <w:pStyle w:val="22"/>
        <w:snapToGrid w:val="0"/>
        <w:spacing w:line="276" w:lineRule="auto"/>
        <w:ind w:firstLine="482"/>
        <w:contextualSpacing/>
        <w:rPr>
          <w:rFonts w:ascii="Times New Roman" w:eastAsia="黑体" w:cs="Times New Roman"/>
          <w:b/>
        </w:rPr>
      </w:pPr>
      <w:r>
        <w:rPr>
          <w:rFonts w:hint="eastAsia" w:ascii="Times New Roman" w:eastAsia="黑体" w:cs="Times New Roman"/>
          <w:b/>
        </w:rPr>
        <w:t>（十二）关联关系风险：本理财产品的代销机构与托管人可能为管理人的关联方，华夏理财已履行了现行法律法规和监管规定的必要程序。本理财产品可能涉及的关联交易类型包括但不限于投资于管理人的主要股东或与管理人有重大利害关系的机构发行或承销的证券，以及与关联方之间开展的资金融通、存款、金融产品投资等，上述情形可能带来交易定价不合理从而影响理财产品净值。本理财产品的销售机构可能包含华夏银行股份有限公司，其为管理人华夏理财的控股股东，二者存在关联关系。如因存在关联关系，导致销售机构对本理财产品未能进行独立、审慎判断或放松准入管理，可能会给投资者造成潜在风险。</w:t>
      </w:r>
    </w:p>
    <w:p>
      <w:pPr>
        <w:pStyle w:val="22"/>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（十三）拟投资市场及资产的流动性风险评估</w:t>
      </w:r>
    </w:p>
    <w:p>
      <w:pPr>
        <w:pStyle w:val="22"/>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本理财产品的投资市场主要为证券交易所、全国银行间债券市场等证券流动性较好的交易场所，主要投资对象为具有良好流动性的金融工具。同时，本理财产品基于分散投资的原则在行业和单个证券方面未有高集中度的特征，综合评估在正常市场环境下本理财产品的流动性风险适中。</w:t>
      </w:r>
    </w:p>
    <w:p>
      <w:pPr>
        <w:pStyle w:val="22"/>
        <w:snapToGrid w:val="0"/>
        <w:spacing w:line="276" w:lineRule="auto"/>
        <w:ind w:firstLine="482" w:firstLineChars="200"/>
        <w:contextualSpacing/>
        <w:rPr>
          <w:rFonts w:ascii="仿宋" w:hAnsi="仿宋" w:eastAsia="仿宋"/>
          <w:bCs/>
          <w:szCs w:val="21"/>
        </w:rPr>
      </w:pPr>
      <w:r>
        <w:rPr>
          <w:rFonts w:hint="eastAsia" w:ascii="Times New Roman" w:eastAsia="黑体" w:cs="Times New Roman"/>
          <w:b/>
        </w:rPr>
        <w:t>但不排除在特定阶段、特定市场环境下特定投资标的出现流动性较差的情况。因此，本理财产品投资于上述资产时，可能存在以下流动性风险：一是管理人建仓或调整组合时，可能由于特定投资标的流动性相对不足而无法按预期的价格买进或卖出；二是为应对投资者的赎回，本理财产品被迫以不适当的价格卖出股票、债券或其他资产（此处所列投资品种不代表本产品的实际投资范围，本产品实际可投资范围以本产品说明书“投资对象”章节列示为准）。两者均可能使本理财产品资产净值受到不利影响。</w:t>
      </w:r>
    </w:p>
    <w:p>
      <w:pPr>
        <w:pStyle w:val="22"/>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（十四）流动性应对措施及对投资者的潜在影响</w:t>
      </w:r>
    </w:p>
    <w:p>
      <w:pPr>
        <w:pStyle w:val="22"/>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1．认（申）购风险应对措施及对投资者的潜在影响</w:t>
      </w:r>
    </w:p>
    <w:p>
      <w:pPr>
        <w:pStyle w:val="22"/>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管理人将加强对本理财产品认（申）购环节的管理，合理控制理财产品投资者集中度，审慎确认大额认（申）购申请。当接受认（申）购申请对存量理财产品投资者利益构成潜在重大不利影响时，管理人将采取设定单一投资者认（申）购金额上限或理财产品单日净认（申）购比例上限、拒绝大额认（申）购申请、暂停理财产品认（申）购等措施对理财产品规模予以控制，切实保护存量理财产品投资者的合法权益。具体详见产品说明书中“一、产品概述”及“五、</w:t>
      </w:r>
      <w:r>
        <w:rPr>
          <w:rFonts w:ascii="Times New Roman" w:eastAsia="黑体" w:cs="Times New Roman"/>
          <w:b/>
        </w:rPr>
        <w:t>认购</w:t>
      </w:r>
      <w:r>
        <w:rPr>
          <w:rFonts w:hint="eastAsia" w:ascii="Times New Roman" w:eastAsia="黑体" w:cs="Times New Roman"/>
          <w:b/>
        </w:rPr>
        <w:t>、申购、赎回”。</w:t>
      </w:r>
    </w:p>
    <w:p>
      <w:pPr>
        <w:pStyle w:val="22"/>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当管理人采用认（申）购风险应对措施时，可能对投资者造成一定的潜在影响，包括但不限于不能认（申）购本理财产品、认（申）购交易全部或部分确认失败等。</w:t>
      </w:r>
    </w:p>
    <w:p>
      <w:pPr>
        <w:pStyle w:val="22"/>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2．赎回风险应对措施及对投资者的潜在影响</w:t>
      </w:r>
    </w:p>
    <w:p>
      <w:pPr>
        <w:pStyle w:val="22"/>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管理人可依照法律法规及理财产品销售文件的约定，综合运用赎回流动性风险应对措施，包括但不限于：设置赎回上限、延期办理巨额赎回申请、暂停接受赎回申请、延缓支付赎回款项、收取短期赎回费、暂停理财产品估值、摆动定价，以及监管机构规定的其他风险应对措施。具体详见本理财产品说明书“一、产品概述”及“五、认购、申购、赎回”。</w:t>
      </w:r>
    </w:p>
    <w:p>
      <w:pPr>
        <w:pStyle w:val="22"/>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当管理人实施赎回流动性风险应对措施时，可能对投资者造成一定的潜在影响，包括但不限于赎回交易全部或部分确认失败、赎回款项延迟到账、增加申赎成本或产生赎回费用等。</w:t>
      </w:r>
    </w:p>
    <w:p>
      <w:pPr>
        <w:pStyle w:val="22"/>
        <w:numPr>
          <w:ilvl w:val="0"/>
          <w:numId w:val="1"/>
        </w:numPr>
        <w:snapToGrid w:val="0"/>
        <w:spacing w:line="276" w:lineRule="auto"/>
        <w:ind w:firstLine="482" w:firstLineChars="200"/>
        <w:contextualSpacing/>
        <w:jc w:val="both"/>
        <w:rPr>
          <w:rFonts w:hint="eastAsia" w:ascii="Times New Roman" w:eastAsia="黑体" w:cs="Times New Roman"/>
          <w:b/>
        </w:rPr>
      </w:pPr>
      <w:r>
        <w:rPr>
          <w:rFonts w:hint="eastAsia" w:ascii="Times New Roman" w:eastAsia="黑体" w:cs="Times New Roman"/>
          <w:b/>
        </w:rPr>
        <w:t>其他风险：由于自然灾害</w:t>
      </w:r>
      <w:r>
        <w:rPr>
          <w:rFonts w:ascii="Times New Roman" w:eastAsia="黑体" w:cs="Times New Roman"/>
          <w:b/>
        </w:rPr>
        <w:t>、战争或国家政策变化等不能预见、不能避免</w:t>
      </w:r>
      <w:r>
        <w:rPr>
          <w:rFonts w:hint="eastAsia" w:ascii="Times New Roman" w:eastAsia="黑体" w:cs="Times New Roman"/>
          <w:b/>
        </w:rPr>
        <w:t>、</w:t>
      </w:r>
      <w:r>
        <w:rPr>
          <w:rFonts w:ascii="Times New Roman" w:eastAsia="黑体" w:cs="Times New Roman"/>
          <w:b/>
        </w:rPr>
        <w:t>不能克服的</w:t>
      </w:r>
      <w:r>
        <w:rPr>
          <w:rFonts w:hint="eastAsia" w:ascii="Times New Roman" w:eastAsia="黑体" w:cs="Times New Roman"/>
          <w:b/>
        </w:rPr>
        <w:t>不可抗力</w:t>
      </w:r>
      <w:r>
        <w:rPr>
          <w:rFonts w:hint="eastAsia" w:ascii="Times New Roman" w:eastAsia="黑体"/>
          <w:b/>
          <w:color w:val="auto"/>
        </w:rPr>
        <w:t>或非华夏理财原因发生的计算机系统故障、网络故障、通讯故障、电力故障等</w:t>
      </w:r>
      <w:r>
        <w:rPr>
          <w:rFonts w:hint="eastAsia" w:ascii="Times New Roman" w:eastAsia="黑体" w:cs="Times New Roman"/>
          <w:b/>
        </w:rPr>
        <w:t>导致理财产品所投资资产收益降低或损失，甚至影响理财产品的受理、投资、偿还等的正常进行，进而影响理财产品的投资收益和本金安全。</w:t>
      </w:r>
    </w:p>
    <w:p>
      <w:pPr>
        <w:pStyle w:val="22"/>
        <w:numPr>
          <w:ilvl w:val="0"/>
          <w:numId w:val="0"/>
        </w:numPr>
        <w:snapToGrid w:val="0"/>
        <w:spacing w:line="276" w:lineRule="auto"/>
        <w:ind w:firstLine="0" w:firstLineChars="0"/>
        <w:contextualSpacing/>
        <w:jc w:val="both"/>
        <w:rPr>
          <w:rFonts w:hint="eastAsia" w:ascii="Times New Roman" w:eastAsia="黑体" w:cs="Times New Roman"/>
          <w:b/>
          <w:color w:val="auto"/>
        </w:rPr>
      </w:pPr>
      <w:r>
        <w:rPr>
          <w:rFonts w:hint="eastAsia" w:ascii="Times New Roman" w:eastAsia="黑体" w:cs="Times New Roman"/>
          <w:b/>
          <w:color w:val="auto"/>
          <w:lang w:val="en-US" w:eastAsia="zh-CN"/>
        </w:rPr>
        <w:t xml:space="preserve">    （十六）</w:t>
      </w:r>
      <w:r>
        <w:rPr>
          <w:rFonts w:hint="eastAsia" w:ascii="Times New Roman" w:eastAsia="黑体" w:cs="Times New Roman"/>
          <w:b/>
          <w:color w:val="auto"/>
        </w:rPr>
        <w:t>本产品特有风险说明</w:t>
      </w:r>
    </w:p>
    <w:p>
      <w:pPr>
        <w:pStyle w:val="22"/>
        <w:snapToGrid w:val="0"/>
        <w:spacing w:line="276" w:lineRule="auto"/>
        <w:ind w:firstLine="482" w:firstLineChars="200"/>
        <w:contextualSpacing/>
        <w:jc w:val="both"/>
        <w:rPr>
          <w:rFonts w:hint="eastAsia" w:ascii="Times New Roman" w:eastAsia="黑体" w:cs="Times New Roman"/>
          <w:b/>
        </w:rPr>
      </w:pPr>
      <w:r>
        <w:rPr>
          <w:rFonts w:hint="eastAsia" w:ascii="Times New Roman" w:eastAsia="黑体" w:cs="Times New Roman"/>
          <w:b/>
        </w:rPr>
        <w:t>本产品由于</w:t>
      </w:r>
      <w:r>
        <w:rPr>
          <w:rFonts w:hint="eastAsia" w:ascii="Times New Roman" w:eastAsia="黑体" w:cs="Times New Roman"/>
          <w:b/>
          <w:lang w:val="en-US" w:eastAsia="zh-CN"/>
        </w:rPr>
        <w:t>投资于货币市场工具、标准化债权类资产等</w:t>
      </w:r>
      <w:r>
        <w:rPr>
          <w:rFonts w:hint="eastAsia" w:ascii="Times New Roman" w:hAnsi="Times New Roman" w:eastAsia="黑体" w:cs="Times New Roman"/>
          <w:b/>
          <w:color w:val="000000"/>
          <w:kern w:val="0"/>
          <w:sz w:val="24"/>
        </w:rPr>
        <w:t>固定收益类资产</w:t>
      </w:r>
      <w:r>
        <w:rPr>
          <w:rFonts w:hint="eastAsia" w:ascii="Times New Roman" w:eastAsia="黑体" w:cs="Times New Roman"/>
          <w:b/>
        </w:rPr>
        <w:t>，因此可能面临如下特定风险：</w:t>
      </w:r>
    </w:p>
    <w:p>
      <w:pPr>
        <w:pStyle w:val="22"/>
        <w:snapToGrid w:val="0"/>
        <w:spacing w:line="276" w:lineRule="auto"/>
        <w:ind w:firstLine="482"/>
        <w:contextualSpacing/>
        <w:jc w:val="both"/>
        <w:rPr>
          <w:rFonts w:hint="eastAsia" w:ascii="Times New Roman" w:hAnsi="Times New Roman" w:eastAsia="黑体" w:cs="Times New Roman"/>
          <w:b/>
          <w:kern w:val="0"/>
          <w:sz w:val="24"/>
          <w:szCs w:val="24"/>
          <w:lang w:val="en-US" w:eastAsia="zh-CN" w:bidi="ar-SA"/>
        </w:rPr>
      </w:pPr>
      <w:r>
        <w:rPr>
          <w:rFonts w:hint="eastAsia" w:ascii="Times New Roman" w:hAnsi="Times New Roman" w:eastAsia="黑体" w:cs="Times New Roman"/>
          <w:b/>
          <w:kern w:val="0"/>
          <w:sz w:val="24"/>
          <w:szCs w:val="24"/>
          <w:lang w:val="en-US" w:eastAsia="zh-CN" w:bidi="ar-SA"/>
        </w:rPr>
        <w:t>1.投资于债券的可能风险：（1）国家政策、经济周期、利率、汇率等因素可能发生的变化导致的市场风险。（2）债券发行人、担保人的经营状况、信用质量降低等可能发生的变化导致的信用风险。（3）债券发行人、担保人信用等级降低导致债券价格下降，可能影响投资者收益，甚至使产品本金遭受损失。（4）非公开定向债务融资工具的流通和转让限制导致的流动性风险。(5)债券市场出现整体下跌，导致债券市场的系统性风险等。（6）</w:t>
      </w:r>
      <w:r>
        <w:rPr>
          <w:rFonts w:hint="eastAsia" w:ascii="Times New Roman" w:hAnsi="Times New Roman" w:eastAsia="黑体" w:cs="Times New Roman"/>
          <w:b/>
          <w:kern w:val="0"/>
          <w:sz w:val="24"/>
          <w:szCs w:val="24"/>
        </w:rPr>
        <w:t>可转</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交换债券投资风险（如有）：</w:t>
      </w:r>
      <w:r>
        <w:rPr>
          <w:rFonts w:hint="eastAsia" w:ascii="Times New Roman" w:hAnsi="Times New Roman" w:eastAsia="黑体" w:cs="Times New Roman"/>
          <w:b/>
          <w:kern w:val="0"/>
          <w:sz w:val="24"/>
          <w:szCs w:val="24"/>
          <w:lang w:val="en-US" w:eastAsia="zh-CN"/>
        </w:rPr>
        <w:t>A、</w:t>
      </w:r>
      <w:r>
        <w:rPr>
          <w:rFonts w:hint="eastAsia" w:ascii="Times New Roman" w:hAnsi="Times New Roman" w:eastAsia="黑体" w:cs="Times New Roman"/>
          <w:b/>
          <w:kern w:val="0"/>
          <w:sz w:val="24"/>
          <w:szCs w:val="24"/>
        </w:rPr>
        <w:t>可转</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交换债券收益与对应标的股票股价直接挂钩，</w:t>
      </w:r>
      <w:r>
        <w:rPr>
          <w:rFonts w:hint="eastAsia" w:ascii="Times New Roman" w:hAnsi="Times New Roman" w:eastAsia="黑体" w:cs="Times New Roman"/>
          <w:b/>
          <w:kern w:val="0"/>
          <w:sz w:val="24"/>
          <w:szCs w:val="24"/>
          <w:lang w:val="en-US" w:eastAsia="zh-CN"/>
        </w:rPr>
        <w:t>债券价格</w:t>
      </w:r>
      <w:r>
        <w:rPr>
          <w:rFonts w:hint="eastAsia" w:ascii="Times New Roman" w:hAnsi="Times New Roman" w:eastAsia="黑体" w:cs="Times New Roman"/>
          <w:b/>
          <w:kern w:val="0"/>
          <w:sz w:val="24"/>
          <w:szCs w:val="24"/>
        </w:rPr>
        <w:t>可能受</w:t>
      </w:r>
      <w:r>
        <w:rPr>
          <w:rFonts w:hint="eastAsia" w:ascii="Times New Roman" w:hAnsi="Times New Roman" w:eastAsia="黑体" w:cs="Times New Roman"/>
          <w:b/>
          <w:kern w:val="0"/>
          <w:sz w:val="24"/>
          <w:szCs w:val="24"/>
          <w:lang w:val="en-US" w:eastAsia="zh-CN"/>
        </w:rPr>
        <w:t>之</w:t>
      </w:r>
      <w:r>
        <w:rPr>
          <w:rFonts w:hint="eastAsia" w:ascii="Times New Roman" w:hAnsi="Times New Roman" w:eastAsia="黑体" w:cs="Times New Roman"/>
          <w:b/>
          <w:kern w:val="0"/>
          <w:sz w:val="24"/>
          <w:szCs w:val="24"/>
        </w:rPr>
        <w:t>影响；</w:t>
      </w:r>
      <w:r>
        <w:rPr>
          <w:rFonts w:hint="eastAsia" w:ascii="Times New Roman" w:hAnsi="Times New Roman" w:eastAsia="黑体" w:cs="Times New Roman"/>
          <w:b/>
          <w:kern w:val="0"/>
          <w:sz w:val="24"/>
          <w:szCs w:val="24"/>
          <w:lang w:val="en-US" w:eastAsia="zh-CN"/>
        </w:rPr>
        <w:t>B、</w:t>
      </w:r>
      <w:r>
        <w:rPr>
          <w:rFonts w:hint="eastAsia" w:ascii="Times New Roman" w:hAnsi="Times New Roman" w:eastAsia="黑体" w:cs="Times New Roman"/>
          <w:b/>
          <w:kern w:val="0"/>
          <w:sz w:val="24"/>
          <w:szCs w:val="24"/>
        </w:rPr>
        <w:t>转股期内，对应标的股票价格可能低于转股价格，若选择转股，产品将承受标的股票价格低于转股价格之间的价差；</w:t>
      </w:r>
      <w:r>
        <w:rPr>
          <w:rFonts w:hint="eastAsia" w:ascii="Times New Roman" w:hAnsi="Times New Roman" w:eastAsia="黑体" w:cs="Times New Roman"/>
          <w:b/>
          <w:kern w:val="0"/>
          <w:sz w:val="24"/>
          <w:szCs w:val="24"/>
          <w:lang w:val="en-US" w:eastAsia="zh-CN"/>
        </w:rPr>
        <w:t>C、</w:t>
      </w:r>
      <w:r>
        <w:rPr>
          <w:rFonts w:hint="eastAsia" w:ascii="Times New Roman" w:hAnsi="Times New Roman" w:eastAsia="黑体" w:cs="Times New Roman"/>
          <w:b/>
          <w:kern w:val="0"/>
          <w:sz w:val="24"/>
          <w:szCs w:val="24"/>
        </w:rPr>
        <w:t>转股价格向下修正条款触发时，存在发行方</w:t>
      </w:r>
      <w:r>
        <w:rPr>
          <w:rFonts w:hint="eastAsia" w:ascii="Times New Roman" w:hAnsi="Times New Roman" w:eastAsia="黑体" w:cs="Times New Roman"/>
          <w:b/>
          <w:kern w:val="0"/>
          <w:sz w:val="24"/>
          <w:szCs w:val="24"/>
          <w:lang w:val="en-US" w:eastAsia="zh-CN"/>
        </w:rPr>
        <w:t>不</w:t>
      </w:r>
      <w:r>
        <w:rPr>
          <w:rFonts w:hint="eastAsia" w:ascii="Times New Roman" w:hAnsi="Times New Roman" w:eastAsia="黑体" w:cs="Times New Roman"/>
          <w:b/>
          <w:kern w:val="0"/>
          <w:sz w:val="24"/>
          <w:szCs w:val="24"/>
        </w:rPr>
        <w:t>同意修正转股价格的风险；</w:t>
      </w:r>
      <w:r>
        <w:rPr>
          <w:rFonts w:hint="eastAsia" w:ascii="Times New Roman" w:hAnsi="Times New Roman" w:eastAsia="黑体" w:cs="Times New Roman"/>
          <w:b/>
          <w:kern w:val="0"/>
          <w:sz w:val="24"/>
          <w:szCs w:val="24"/>
          <w:lang w:val="en-US" w:eastAsia="zh-CN"/>
        </w:rPr>
        <w:t>D、</w:t>
      </w:r>
      <w:r>
        <w:rPr>
          <w:rFonts w:hint="eastAsia" w:ascii="Times New Roman" w:hAnsi="Times New Roman" w:eastAsia="黑体" w:cs="Times New Roman"/>
          <w:b/>
          <w:kern w:val="0"/>
          <w:sz w:val="24"/>
          <w:szCs w:val="24"/>
        </w:rPr>
        <w:t>赎回条款可能导致债券提前兑付或转股期缩短而影响投资收益的风险；</w:t>
      </w:r>
      <w:r>
        <w:rPr>
          <w:rFonts w:hint="eastAsia" w:ascii="Times New Roman" w:hAnsi="Times New Roman" w:eastAsia="黑体" w:cs="Times New Roman"/>
          <w:b/>
          <w:kern w:val="0"/>
          <w:sz w:val="24"/>
          <w:szCs w:val="24"/>
          <w:lang w:val="en-US" w:eastAsia="zh-CN"/>
        </w:rPr>
        <w:t>E、</w:t>
      </w:r>
      <w:r>
        <w:rPr>
          <w:rFonts w:hint="eastAsia" w:ascii="Times New Roman" w:hAnsi="Times New Roman" w:eastAsia="黑体" w:cs="Times New Roman"/>
          <w:b/>
          <w:kern w:val="0"/>
          <w:sz w:val="24"/>
          <w:szCs w:val="24"/>
        </w:rPr>
        <w:t>存在因政策限制导致无法转股的风险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可转</w:t>
      </w:r>
      <w:r>
        <w:rPr>
          <w:rFonts w:hint="eastAsia" w:ascii="Times New Roman" w:hAnsi="Times New Roman" w:eastAsia="黑体" w:cs="Times New Roman"/>
          <w:b/>
          <w:kern w:val="0"/>
          <w:sz w:val="24"/>
          <w:szCs w:val="24"/>
          <w:lang w:val="en-US" w:eastAsia="zh-CN"/>
        </w:rPr>
        <w:t>/</w:t>
      </w:r>
      <w:r>
        <w:rPr>
          <w:rFonts w:hint="eastAsia" w:ascii="Times New Roman" w:hAnsi="Times New Roman" w:eastAsia="黑体" w:cs="Times New Roman"/>
          <w:b/>
          <w:kern w:val="0"/>
          <w:sz w:val="24"/>
          <w:szCs w:val="24"/>
        </w:rPr>
        <w:t>交换债券投资受到包括但不限于上述因素影响时，可能影响投资者收益，甚至使产品</w:t>
      </w:r>
      <w:r>
        <w:rPr>
          <w:rFonts w:hint="eastAsia" w:ascii="Times New Roman" w:hAnsi="Times New Roman" w:eastAsia="黑体" w:cs="Times New Roman"/>
          <w:b/>
          <w:kern w:val="0"/>
          <w:sz w:val="24"/>
          <w:szCs w:val="24"/>
          <w:lang w:val="en-US" w:eastAsia="zh-CN"/>
        </w:rPr>
        <w:t>本金</w:t>
      </w:r>
      <w:r>
        <w:rPr>
          <w:rFonts w:hint="eastAsia" w:ascii="Times New Roman" w:hAnsi="Times New Roman" w:eastAsia="黑体" w:cs="Times New Roman"/>
          <w:b/>
          <w:kern w:val="0"/>
          <w:sz w:val="24"/>
          <w:szCs w:val="24"/>
        </w:rPr>
        <w:t>遭受损失。</w:t>
      </w:r>
      <w:r>
        <w:rPr>
          <w:rFonts w:hint="eastAsia" w:ascii="Times New Roman" w:hAnsi="Times New Roman" w:eastAsia="黑体" w:cs="Times New Roman"/>
          <w:b/>
          <w:kern w:val="0"/>
          <w:sz w:val="24"/>
          <w:szCs w:val="24"/>
          <w:lang w:eastAsia="zh-CN"/>
        </w:rPr>
        <w:t>（7）永续债投资风险（如有）：永续债发行人可能延期支付利息，且永续债无到期日，可能因流动性差无法变现、无法收回本金，使产品出现流动性风险；永续债附加的回售或赎回权，可能会导致管理人以不利价格出售永续债，从而影响投资者收益</w:t>
      </w:r>
      <w:r>
        <w:rPr>
          <w:rFonts w:hint="eastAsia" w:ascii="Times New Roman" w:hAnsi="Times New Roman" w:eastAsia="黑体" w:cs="Times New Roman"/>
          <w:b/>
          <w:kern w:val="0"/>
          <w:sz w:val="24"/>
          <w:szCs w:val="24"/>
        </w:rPr>
        <w:t xml:space="preserve">。 </w:t>
      </w:r>
    </w:p>
    <w:p>
      <w:pPr>
        <w:pStyle w:val="22"/>
        <w:snapToGrid w:val="0"/>
        <w:spacing w:line="276" w:lineRule="auto"/>
        <w:ind w:firstLine="482"/>
        <w:contextualSpacing/>
        <w:jc w:val="both"/>
        <w:rPr>
          <w:rFonts w:hint="eastAsia" w:ascii="Times New Roman" w:hAnsi="Times New Roman" w:eastAsia="黑体" w:cs="Times New Roman"/>
          <w:b/>
          <w:i w:val="0"/>
          <w:iCs w:val="0"/>
          <w:caps w:val="0"/>
          <w:color w:val="000000"/>
          <w:spacing w:val="0"/>
          <w:sz w:val="24"/>
          <w:szCs w:val="24"/>
          <w:shd w:val="clear" w:color="0A0000" w:fill="auto"/>
          <w:lang w:val="en-US"/>
        </w:rPr>
      </w:pPr>
      <w:r>
        <w:rPr>
          <w:rFonts w:hint="eastAsia" w:ascii="Times New Roman" w:hAnsi="Times New Roman" w:eastAsia="黑体" w:cs="Times New Roman"/>
          <w:b/>
          <w:kern w:val="0"/>
          <w:sz w:val="24"/>
          <w:szCs w:val="24"/>
          <w:lang w:val="en-US" w:eastAsia="zh-CN"/>
        </w:rPr>
        <w:t>2.</w:t>
      </w:r>
      <w:r>
        <w:rPr>
          <w:rFonts w:hint="eastAsia" w:ascii="Times New Roman" w:hAnsi="Times New Roman" w:eastAsia="黑体" w:cs="Times New Roman"/>
          <w:b/>
          <w:kern w:val="0"/>
          <w:sz w:val="24"/>
          <w:szCs w:val="24"/>
        </w:rPr>
        <w:t>投资于资产支持证券的</w:t>
      </w:r>
      <w:r>
        <w:rPr>
          <w:rFonts w:hint="eastAsia" w:ascii="Times New Roman" w:hAnsi="Times New Roman" w:eastAsia="黑体" w:cs="Times New Roman"/>
          <w:b/>
          <w:kern w:val="0"/>
          <w:sz w:val="24"/>
          <w:szCs w:val="24"/>
          <w:lang w:val="en-US" w:eastAsia="zh-CN"/>
        </w:rPr>
        <w:t>可能</w:t>
      </w:r>
      <w:r>
        <w:rPr>
          <w:rFonts w:hint="eastAsia" w:ascii="Times New Roman" w:hAnsi="Times New Roman" w:eastAsia="黑体" w:cs="Times New Roman"/>
          <w:b/>
          <w:kern w:val="0"/>
          <w:sz w:val="24"/>
          <w:szCs w:val="24"/>
        </w:rPr>
        <w:t>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1</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资产支持证券的投资收益取决于</w:t>
      </w:r>
      <w:r>
        <w:rPr>
          <w:rFonts w:hint="eastAsia" w:ascii="Times New Roman" w:hAnsi="Times New Roman" w:eastAsia="黑体" w:cs="Times New Roman"/>
          <w:b/>
          <w:kern w:val="0"/>
          <w:sz w:val="24"/>
          <w:szCs w:val="24"/>
          <w:lang w:val="en-US" w:eastAsia="zh-CN"/>
        </w:rPr>
        <w:t>项下</w:t>
      </w:r>
      <w:r>
        <w:rPr>
          <w:rFonts w:hint="eastAsia" w:ascii="Times New Roman" w:hAnsi="Times New Roman" w:eastAsia="黑体" w:cs="Times New Roman"/>
          <w:b/>
          <w:kern w:val="0"/>
          <w:sz w:val="24"/>
          <w:szCs w:val="24"/>
        </w:rPr>
        <w:t>基础资产情况，如该基础资产发生原始权益人</w:t>
      </w:r>
      <w:r>
        <w:rPr>
          <w:rFonts w:hint="eastAsia" w:ascii="Times New Roman" w:hAnsi="Times New Roman" w:eastAsia="黑体" w:cs="Times New Roman"/>
          <w:b/>
          <w:kern w:val="0"/>
          <w:sz w:val="24"/>
          <w:szCs w:val="24"/>
          <w:lang w:val="en-US" w:eastAsia="zh-CN"/>
        </w:rPr>
        <w:t>偿债能力变化、</w:t>
      </w:r>
      <w:r>
        <w:rPr>
          <w:rFonts w:hint="eastAsia" w:ascii="Times New Roman" w:hAnsi="Times New Roman" w:eastAsia="黑体" w:cs="Times New Roman"/>
          <w:b/>
          <w:kern w:val="0"/>
          <w:sz w:val="24"/>
          <w:szCs w:val="24"/>
        </w:rPr>
        <w:t>破产或基础资产项下现金流未能及时完整</w:t>
      </w:r>
      <w:r>
        <w:rPr>
          <w:rFonts w:hint="eastAsia" w:ascii="Times New Roman" w:hAnsi="Times New Roman" w:eastAsia="黑体" w:cs="Times New Roman"/>
          <w:b/>
          <w:kern w:val="0"/>
          <w:sz w:val="24"/>
          <w:szCs w:val="24"/>
          <w:lang w:val="en-US" w:eastAsia="zh-CN"/>
        </w:rPr>
        <w:t>获</w:t>
      </w:r>
      <w:r>
        <w:rPr>
          <w:rFonts w:hint="eastAsia" w:ascii="Times New Roman" w:hAnsi="Times New Roman" w:eastAsia="黑体" w:cs="Times New Roman"/>
          <w:b/>
          <w:kern w:val="0"/>
          <w:sz w:val="24"/>
          <w:szCs w:val="24"/>
        </w:rPr>
        <w:t>得等情况，资产支持证券的收益将受到影响</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2</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资产支持证券的流动性较低，可能影响投资者收益，甚至使产品</w:t>
      </w:r>
      <w:r>
        <w:rPr>
          <w:rFonts w:hint="eastAsia" w:ascii="Times New Roman" w:hAnsi="Times New Roman" w:eastAsia="黑体" w:cs="Times New Roman"/>
          <w:b/>
          <w:kern w:val="0"/>
          <w:sz w:val="24"/>
          <w:szCs w:val="24"/>
          <w:lang w:val="en-US" w:eastAsia="zh-CN"/>
        </w:rPr>
        <w:t>本金</w:t>
      </w:r>
      <w:r>
        <w:rPr>
          <w:rFonts w:hint="eastAsia" w:ascii="Times New Roman" w:hAnsi="Times New Roman" w:eastAsia="黑体" w:cs="Times New Roman"/>
          <w:b/>
          <w:kern w:val="0"/>
          <w:sz w:val="24"/>
          <w:szCs w:val="24"/>
        </w:rPr>
        <w:t xml:space="preserve">遭受损失。 </w:t>
      </w:r>
    </w:p>
    <w:p>
      <w:pPr>
        <w:pStyle w:val="22"/>
        <w:snapToGrid w:val="0"/>
        <w:spacing w:line="276" w:lineRule="auto"/>
        <w:ind w:firstLine="482"/>
        <w:contextualSpacing/>
        <w:rPr>
          <w:rFonts w:hint="eastAsia" w:ascii="Times New Roman" w:eastAsia="黑体" w:cs="Times New Roman"/>
          <w:b/>
          <w:lang w:val="en-US" w:eastAsia="zh-CN"/>
        </w:rPr>
      </w:pPr>
      <w:r>
        <w:rPr>
          <w:rFonts w:hint="eastAsia" w:ascii="Times New Roman" w:hAnsi="Times New Roman" w:eastAsia="黑体" w:cs="Times New Roman"/>
          <w:b/>
          <w:kern w:val="0"/>
          <w:sz w:val="24"/>
          <w:szCs w:val="24"/>
          <w:lang w:val="en-US" w:eastAsia="zh-CN" w:bidi="ar-SA"/>
        </w:rPr>
        <w:t>3.投资于存款类资产的可能风险：本产品拟投资的存款类资产在极端情况下可能面临被拒绝支取、因提前支取而被收取罚息等费用的风险，从而影响投资者收益，甚至使本产品本金遭受损失。</w:t>
      </w:r>
    </w:p>
    <w:p>
      <w:pPr>
        <w:pStyle w:val="22"/>
        <w:snapToGrid w:val="0"/>
        <w:spacing w:line="276" w:lineRule="auto"/>
        <w:ind w:firstLine="482"/>
        <w:contextualSpacing/>
        <w:jc w:val="both"/>
        <w:rPr>
          <w:rFonts w:hint="eastAsia" w:ascii="Times New Roman" w:hAnsi="Times New Roman" w:eastAsia="黑体" w:cs="Times New Roman"/>
          <w:b/>
          <w:kern w:val="0"/>
          <w:sz w:val="24"/>
          <w:szCs w:val="24"/>
          <w:lang w:val="en-US" w:eastAsia="zh-CN" w:bidi="ar-SA"/>
        </w:rPr>
      </w:pPr>
      <w:r>
        <w:rPr>
          <w:rFonts w:hint="eastAsia" w:ascii="Times New Roman" w:eastAsia="黑体" w:cs="Times New Roman"/>
          <w:b/>
          <w:kern w:val="0"/>
          <w:sz w:val="24"/>
          <w:szCs w:val="24"/>
          <w:lang w:val="en-US" w:eastAsia="zh-CN"/>
        </w:rPr>
        <w:t>4.</w:t>
      </w:r>
      <w:r>
        <w:rPr>
          <w:rFonts w:hint="eastAsia" w:ascii="Times New Roman" w:hAnsi="Times New Roman" w:eastAsia="黑体" w:cs="Times New Roman"/>
          <w:b/>
          <w:kern w:val="0"/>
          <w:sz w:val="24"/>
          <w:szCs w:val="24"/>
        </w:rPr>
        <w:t>投资于结构性存款的</w:t>
      </w:r>
      <w:r>
        <w:rPr>
          <w:rFonts w:hint="eastAsia" w:ascii="Times New Roman" w:eastAsia="黑体" w:cs="Times New Roman"/>
          <w:b/>
          <w:kern w:val="0"/>
          <w:sz w:val="24"/>
          <w:szCs w:val="24"/>
          <w:lang w:val="en-US" w:eastAsia="zh-CN"/>
        </w:rPr>
        <w:t>可能</w:t>
      </w:r>
      <w:r>
        <w:rPr>
          <w:rFonts w:hint="eastAsia" w:ascii="Times New Roman" w:hAnsi="Times New Roman" w:eastAsia="黑体" w:cs="Times New Roman"/>
          <w:b/>
          <w:kern w:val="0"/>
          <w:sz w:val="24"/>
          <w:szCs w:val="24"/>
        </w:rPr>
        <w:t>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1</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 xml:space="preserve"> 市场风险。结构性存款挂钩的境内外债券、股票、利率、汇率、指数等标的受相关国家或地区的金融市场和经济趋势的影响，收益存在不确定性。</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2</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信用风险。结构性存款</w:t>
      </w:r>
      <w:r>
        <w:rPr>
          <w:rFonts w:hint="eastAsia" w:ascii="Times New Roman" w:hAnsi="Times New Roman" w:eastAsia="黑体" w:cs="Times New Roman"/>
          <w:b/>
          <w:kern w:val="0"/>
          <w:sz w:val="24"/>
          <w:szCs w:val="24"/>
          <w:lang w:val="en-US" w:eastAsia="zh-CN"/>
        </w:rPr>
        <w:t>可能</w:t>
      </w:r>
      <w:r>
        <w:rPr>
          <w:rFonts w:hint="eastAsia" w:ascii="Times New Roman" w:hAnsi="Times New Roman" w:eastAsia="黑体" w:cs="Times New Roman"/>
          <w:b/>
          <w:kern w:val="0"/>
          <w:sz w:val="24"/>
          <w:szCs w:val="24"/>
        </w:rPr>
        <w:t>面临交易对手银行无力偿付或未履行该结构性存款相关义务（含支付义务）的风险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同时结构性存款挂钩的标的如果出现信用违约，结构性存款的本金与收益也会受到影响，在最不利的情况下可能损失全部本金。</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3</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利率风险。结构性存款如挂钩特定债券或债券指数，可能因相关利率变动而导致产品收益发生变化。</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4</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汇率风险。结构性存款如挂钩境外证券资产，可能面临以非人民币计价的各类资产受汇率波动影响而引起人民币估值下的理财产品资产净值波动的风险。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5</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衍生品投资风险。结构性存款所嵌入的金融衍生工具，可能存在</w:t>
      </w:r>
      <w:r>
        <w:rPr>
          <w:rFonts w:hint="eastAsia" w:ascii="Times New Roman" w:hAnsi="Times New Roman" w:eastAsia="黑体" w:cs="Times New Roman"/>
          <w:b/>
          <w:kern w:val="0"/>
          <w:sz w:val="24"/>
          <w:szCs w:val="24"/>
          <w:lang w:val="en-US" w:eastAsia="zh-CN"/>
        </w:rPr>
        <w:t>杠杆</w:t>
      </w:r>
      <w:r>
        <w:rPr>
          <w:rFonts w:hint="eastAsia" w:ascii="Times New Roman" w:hAnsi="Times New Roman" w:eastAsia="黑体" w:cs="Times New Roman"/>
          <w:b/>
          <w:kern w:val="0"/>
          <w:sz w:val="24"/>
          <w:szCs w:val="24"/>
        </w:rPr>
        <w:t>风险、操作风险、交易对手的信用风险、衍生品价格与其基础品种的相关度变化带来的风险等。</w:t>
      </w:r>
      <w:r>
        <w:rPr>
          <w:rFonts w:hint="eastAsia" w:ascii="Times New Roman" w:hAnsi="Times New Roman" w:eastAsia="黑体" w:cs="Times New Roman"/>
          <w:b/>
          <w:kern w:val="0"/>
          <w:sz w:val="24"/>
          <w:szCs w:val="24"/>
          <w:lang w:val="en-US" w:eastAsia="zh-CN"/>
        </w:rPr>
        <w:t>以上风险事项若发现，可能</w:t>
      </w:r>
      <w:r>
        <w:rPr>
          <w:rFonts w:hint="eastAsia" w:ascii="Times New Roman" w:hAnsi="Times New Roman" w:eastAsia="黑体" w:cs="Times New Roman"/>
          <w:b/>
          <w:kern w:val="0"/>
          <w:sz w:val="24"/>
          <w:szCs w:val="24"/>
        </w:rPr>
        <w:t>可能影响投资者收益，甚至使产品</w:t>
      </w:r>
      <w:r>
        <w:rPr>
          <w:rFonts w:hint="eastAsia" w:ascii="Times New Roman" w:hAnsi="Times New Roman" w:eastAsia="黑体" w:cs="Times New Roman"/>
          <w:b/>
          <w:kern w:val="0"/>
          <w:sz w:val="24"/>
          <w:szCs w:val="24"/>
          <w:lang w:val="en-US" w:eastAsia="zh-CN"/>
        </w:rPr>
        <w:t>本金</w:t>
      </w:r>
      <w:r>
        <w:rPr>
          <w:rFonts w:hint="eastAsia" w:ascii="Times New Roman" w:hAnsi="Times New Roman" w:eastAsia="黑体" w:cs="Times New Roman"/>
          <w:b/>
          <w:kern w:val="0"/>
          <w:sz w:val="24"/>
          <w:szCs w:val="24"/>
        </w:rPr>
        <w:t xml:space="preserve">遭受损失。 </w:t>
      </w:r>
    </w:p>
    <w:p>
      <w:pPr>
        <w:pStyle w:val="22"/>
        <w:numPr>
          <w:ilvl w:val="0"/>
          <w:numId w:val="0"/>
        </w:numPr>
        <w:snapToGrid w:val="0"/>
        <w:spacing w:line="276" w:lineRule="auto"/>
        <w:ind w:firstLine="0" w:firstLineChars="0"/>
        <w:contextualSpacing/>
        <w:jc w:val="both"/>
        <w:rPr>
          <w:rFonts w:hint="eastAsia" w:ascii="Times New Roman" w:eastAsia="黑体" w:cs="Times New Roman"/>
          <w:b/>
        </w:rPr>
      </w:pPr>
      <w:r>
        <w:rPr>
          <w:rFonts w:hint="eastAsia" w:ascii="Times New Roman" w:eastAsia="黑体" w:cs="Times New Roman"/>
          <w:b/>
          <w:kern w:val="0"/>
          <w:sz w:val="24"/>
          <w:szCs w:val="24"/>
          <w:lang w:val="en-US" w:eastAsia="zh-CN" w:bidi="ar-SA"/>
        </w:rPr>
        <w:t xml:space="preserve">    5.</w:t>
      </w:r>
      <w:r>
        <w:rPr>
          <w:rFonts w:hint="eastAsia" w:ascii="Times New Roman" w:hAnsi="Times New Roman" w:eastAsia="黑体" w:cs="Times New Roman"/>
          <w:b/>
          <w:kern w:val="0"/>
          <w:sz w:val="24"/>
          <w:szCs w:val="24"/>
          <w:lang w:val="en-US" w:eastAsia="zh-CN" w:bidi="ar-SA"/>
        </w:rPr>
        <w:t>.投资于公募基金、信托计划、资产管理计划等资产管理产品的可能风险：由于管理人(包括本理财产品、所投资的公募基金、信托计划、资产管理计划等资产管理产品的受托人、资产管理人、相关投资顾问)受经验、技能等因素的限制，可能对经济形势和金融市场价格走势判断有误、获取信息不全、或对投资工具使用不当等，导致产品收益甚至本金遭受损失；如资产管理产品的受托人、资产管理人或相关投资顾问等及其内部流程、人员管理及系统操作不当或失误，或违背相关合同约定、未严格执行风险控制措施、处理事务不当等，导致产品收益甚至本金遭受损失。</w:t>
      </w:r>
    </w:p>
    <w:p>
      <w:pPr>
        <w:pStyle w:val="22"/>
        <w:numPr>
          <w:ilvl w:val="0"/>
          <w:numId w:val="0"/>
        </w:numPr>
        <w:snapToGrid w:val="0"/>
        <w:spacing w:line="276" w:lineRule="auto"/>
        <w:ind w:firstLine="0" w:firstLineChars="0"/>
        <w:contextualSpacing/>
        <w:jc w:val="both"/>
        <w:rPr>
          <w:rFonts w:hint="eastAsia" w:ascii="Times New Roman" w:eastAsia="黑体" w:cs="Times New Roman"/>
          <w:b/>
        </w:rPr>
      </w:pPr>
    </w:p>
    <w:p>
      <w:pPr>
        <w:pStyle w:val="22"/>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九、</w:t>
      </w:r>
      <w:r>
        <w:rPr>
          <w:rFonts w:ascii="Times New Roman" w:eastAsia="黑体" w:cs="Times New Roman"/>
          <w:b/>
          <w:color w:val="auto"/>
        </w:rPr>
        <w:t>信息披露</w:t>
      </w:r>
    </w:p>
    <w:p>
      <w:pPr>
        <w:pStyle w:val="22"/>
        <w:snapToGrid w:val="0"/>
        <w:spacing w:line="276" w:lineRule="auto"/>
        <w:ind w:firstLine="480" w:firstLineChars="200"/>
        <w:contextualSpacing/>
        <w:outlineLvl w:val="1"/>
        <w:rPr>
          <w:rFonts w:ascii="仿宋" w:hAnsi="仿宋" w:eastAsia="仿宋"/>
        </w:rPr>
      </w:pPr>
      <w:r>
        <w:rPr>
          <w:rFonts w:ascii="仿宋" w:hAnsi="仿宋" w:eastAsia="仿宋"/>
        </w:rPr>
        <w:t>（</w:t>
      </w:r>
      <w:r>
        <w:rPr>
          <w:rFonts w:hint="eastAsia" w:ascii="仿宋" w:hAnsi="仿宋" w:eastAsia="仿宋"/>
        </w:rPr>
        <w:t>一</w:t>
      </w:r>
      <w:r>
        <w:rPr>
          <w:rFonts w:ascii="仿宋" w:hAnsi="仿宋" w:eastAsia="仿宋"/>
        </w:rPr>
        <w:t>）理财产品运作信息披露</w:t>
      </w:r>
    </w:p>
    <w:p>
      <w:pPr>
        <w:autoSpaceDE w:val="0"/>
        <w:autoSpaceDN w:val="0"/>
        <w:adjustRightInd w:val="0"/>
        <w:snapToGrid w:val="0"/>
        <w:spacing w:line="276" w:lineRule="auto"/>
        <w:ind w:firstLine="482" w:firstLineChars="200"/>
        <w:contextualSpacing/>
        <w:rPr>
          <w:rFonts w:ascii="仿宋" w:hAnsi="仿宋" w:eastAsia="仿宋" w:cs="宋体"/>
          <w:b/>
          <w:color w:val="000000"/>
          <w:kern w:val="0"/>
          <w:sz w:val="24"/>
        </w:rPr>
      </w:pPr>
      <w:r>
        <w:rPr>
          <w:rFonts w:hint="eastAsia" w:ascii="仿宋" w:hAnsi="仿宋" w:eastAsia="仿宋" w:cs="宋体"/>
          <w:b/>
          <w:color w:val="000000"/>
          <w:kern w:val="0"/>
          <w:sz w:val="24"/>
        </w:rPr>
        <w:t>1.</w:t>
      </w:r>
      <w:r>
        <w:rPr>
          <w:rFonts w:ascii="仿宋" w:hAnsi="仿宋" w:eastAsia="仿宋" w:cs="宋体"/>
          <w:b/>
          <w:color w:val="000000"/>
          <w:kern w:val="0"/>
          <w:sz w:val="24"/>
        </w:rPr>
        <w:t>华夏</w:t>
      </w:r>
      <w:r>
        <w:rPr>
          <w:rFonts w:hint="eastAsia" w:ascii="仿宋" w:hAnsi="仿宋" w:eastAsia="仿宋" w:cs="宋体"/>
          <w:b/>
          <w:color w:val="000000"/>
          <w:kern w:val="0"/>
          <w:sz w:val="24"/>
        </w:rPr>
        <w:t>理财</w:t>
      </w:r>
      <w:r>
        <w:rPr>
          <w:rFonts w:ascii="仿宋" w:hAnsi="仿宋" w:eastAsia="仿宋" w:cs="宋体"/>
          <w:b/>
          <w:color w:val="000000"/>
          <w:kern w:val="0"/>
          <w:sz w:val="24"/>
        </w:rPr>
        <w:t>将按照法律法规及监管</w:t>
      </w:r>
      <w:r>
        <w:rPr>
          <w:rFonts w:hint="eastAsia" w:ascii="仿宋" w:hAnsi="仿宋" w:eastAsia="仿宋" w:cs="宋体"/>
          <w:b/>
          <w:color w:val="000000"/>
          <w:kern w:val="0"/>
          <w:sz w:val="24"/>
        </w:rPr>
        <w:t>规定</w:t>
      </w:r>
      <w:r>
        <w:rPr>
          <w:rFonts w:ascii="仿宋" w:hAnsi="仿宋" w:eastAsia="仿宋" w:cs="宋体"/>
          <w:b/>
          <w:color w:val="000000"/>
          <w:kern w:val="0"/>
          <w:sz w:val="24"/>
        </w:rPr>
        <w:t>的要求</w:t>
      </w:r>
      <w:r>
        <w:rPr>
          <w:rFonts w:hint="eastAsia" w:ascii="仿宋" w:hAnsi="仿宋" w:eastAsia="仿宋" w:cs="宋体"/>
          <w:b/>
          <w:color w:val="000000"/>
          <w:kern w:val="0"/>
          <w:sz w:val="24"/>
        </w:rPr>
        <w:t>披露本理财产品信息，披露事项包括理财产品成立、不成立、净值、收益分配、到期、提前终止、调整等内容。</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2.本理财产品已经在“全国银行业理财信息登记系统”登记，投资者可依据登记编码在“中国理财网”查询本理财产品信息。</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w:t>
      </w:r>
      <w:r>
        <w:rPr>
          <w:rFonts w:ascii="仿宋" w:hAnsi="仿宋" w:eastAsia="仿宋" w:cs="宋体"/>
          <w:color w:val="000000"/>
          <w:kern w:val="0"/>
          <w:sz w:val="24"/>
        </w:rPr>
        <w:t>在</w:t>
      </w:r>
      <w:r>
        <w:rPr>
          <w:rFonts w:hint="eastAsia" w:ascii="仿宋" w:hAnsi="仿宋" w:eastAsia="仿宋" w:cs="宋体"/>
          <w:color w:val="000000"/>
          <w:kern w:val="0"/>
          <w:sz w:val="24"/>
        </w:rPr>
        <w:t>理财</w:t>
      </w:r>
      <w:r>
        <w:rPr>
          <w:rFonts w:ascii="仿宋" w:hAnsi="仿宋" w:eastAsia="仿宋" w:cs="宋体"/>
          <w:color w:val="000000"/>
          <w:kern w:val="0"/>
          <w:sz w:val="24"/>
        </w:rPr>
        <w:t>产品不成立时，华夏</w:t>
      </w:r>
      <w:r>
        <w:rPr>
          <w:rFonts w:hint="eastAsia" w:ascii="仿宋" w:hAnsi="仿宋" w:eastAsia="仿宋" w:cs="宋体"/>
          <w:color w:val="000000"/>
          <w:kern w:val="0"/>
          <w:sz w:val="24"/>
        </w:rPr>
        <w:t>理财</w:t>
      </w:r>
      <w:r>
        <w:rPr>
          <w:rFonts w:ascii="仿宋" w:hAnsi="仿宋" w:eastAsia="仿宋" w:cs="宋体"/>
          <w:color w:val="000000"/>
          <w:kern w:val="0"/>
          <w:sz w:val="24"/>
        </w:rPr>
        <w:t>将在原定成立日后2个工作日内发布产品不成立</w:t>
      </w:r>
      <w:r>
        <w:rPr>
          <w:rFonts w:hint="eastAsia" w:ascii="仿宋" w:hAnsi="仿宋" w:eastAsia="仿宋" w:cs="宋体"/>
          <w:color w:val="000000"/>
          <w:kern w:val="0"/>
          <w:sz w:val="24"/>
        </w:rPr>
        <w:t>公告</w:t>
      </w:r>
      <w:r>
        <w:rPr>
          <w:rFonts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w:t>
      </w:r>
      <w:r>
        <w:rPr>
          <w:rFonts w:ascii="仿宋" w:hAnsi="仿宋" w:eastAsia="仿宋" w:cs="宋体"/>
          <w:color w:val="000000"/>
          <w:kern w:val="0"/>
          <w:sz w:val="24"/>
        </w:rPr>
        <w:t>本理财产品成立后</w:t>
      </w:r>
      <w:r>
        <w:rPr>
          <w:rFonts w:hint="eastAsia" w:ascii="仿宋" w:hAnsi="仿宋" w:eastAsia="仿宋" w:cs="宋体"/>
          <w:color w:val="000000"/>
          <w:kern w:val="0"/>
          <w:sz w:val="24"/>
        </w:rPr>
        <w:t>5</w:t>
      </w:r>
      <w:r>
        <w:rPr>
          <w:rFonts w:ascii="仿宋" w:hAnsi="仿宋" w:eastAsia="仿宋" w:cs="宋体"/>
          <w:color w:val="000000"/>
          <w:kern w:val="0"/>
          <w:sz w:val="24"/>
        </w:rPr>
        <w:t>个工作日内，华夏</w:t>
      </w:r>
      <w:r>
        <w:rPr>
          <w:rFonts w:hint="eastAsia" w:ascii="仿宋" w:hAnsi="仿宋" w:eastAsia="仿宋" w:cs="宋体"/>
          <w:color w:val="000000"/>
          <w:kern w:val="0"/>
          <w:sz w:val="24"/>
        </w:rPr>
        <w:t>理财</w:t>
      </w:r>
      <w:r>
        <w:rPr>
          <w:rFonts w:ascii="仿宋" w:hAnsi="仿宋" w:eastAsia="仿宋" w:cs="宋体"/>
          <w:color w:val="000000"/>
          <w:kern w:val="0"/>
          <w:sz w:val="24"/>
        </w:rPr>
        <w:t>将发布产品</w:t>
      </w:r>
      <w:r>
        <w:rPr>
          <w:rFonts w:hint="eastAsia" w:ascii="仿宋" w:hAnsi="仿宋" w:eastAsia="仿宋" w:cs="宋体"/>
          <w:color w:val="000000"/>
          <w:kern w:val="0"/>
          <w:sz w:val="24"/>
        </w:rPr>
        <w:t>成立公</w:t>
      </w:r>
      <w:r>
        <w:rPr>
          <w:rFonts w:ascii="仿宋" w:hAnsi="仿宋" w:eastAsia="仿宋" w:cs="宋体"/>
          <w:color w:val="000000"/>
          <w:kern w:val="0"/>
          <w:sz w:val="24"/>
        </w:rPr>
        <w:t>告。</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5</w:t>
      </w:r>
      <w:r>
        <w:rPr>
          <w:rFonts w:hint="eastAsia" w:ascii="仿宋" w:hAnsi="仿宋" w:eastAsia="仿宋" w:cs="宋体"/>
          <w:color w:val="000000"/>
          <w:kern w:val="0"/>
          <w:sz w:val="24"/>
        </w:rPr>
        <w:t>.华夏理财在每个季度结束之日起15个工作日内、上半年结束之日起60个工作日内、每年结束之日起90个工作日内，编制完成本理财产品的季度、半年和年度报告，成立不足90个工作日</w:t>
      </w:r>
      <w:r>
        <w:rPr>
          <w:rFonts w:ascii="仿宋" w:hAnsi="仿宋" w:eastAsia="仿宋" w:cs="宋体"/>
          <w:color w:val="000000"/>
          <w:kern w:val="0"/>
          <w:sz w:val="24"/>
        </w:rPr>
        <w:t>或者剩余存续期不超过</w:t>
      </w:r>
      <w:r>
        <w:rPr>
          <w:rFonts w:hint="eastAsia" w:ascii="仿宋" w:hAnsi="仿宋" w:eastAsia="仿宋" w:cs="宋体"/>
          <w:color w:val="000000"/>
          <w:kern w:val="0"/>
          <w:sz w:val="24"/>
        </w:rPr>
        <w:t>90个工作日</w:t>
      </w:r>
      <w:r>
        <w:rPr>
          <w:rFonts w:ascii="仿宋" w:hAnsi="仿宋" w:eastAsia="仿宋" w:cs="宋体"/>
          <w:color w:val="000000"/>
          <w:kern w:val="0"/>
          <w:sz w:val="24"/>
        </w:rPr>
        <w:t>的，可不编写当期季报、半</w:t>
      </w:r>
      <w:r>
        <w:rPr>
          <w:rFonts w:hint="eastAsia" w:ascii="仿宋" w:hAnsi="仿宋" w:eastAsia="仿宋" w:cs="宋体"/>
          <w:color w:val="000000"/>
          <w:kern w:val="0"/>
          <w:sz w:val="24"/>
        </w:rPr>
        <w:t>年</w:t>
      </w:r>
      <w:r>
        <w:rPr>
          <w:rFonts w:ascii="仿宋" w:hAnsi="仿宋" w:eastAsia="仿宋" w:cs="宋体"/>
          <w:color w:val="000000"/>
          <w:kern w:val="0"/>
          <w:sz w:val="24"/>
        </w:rPr>
        <w:t>和年度报告</w:t>
      </w:r>
      <w:r>
        <w:rPr>
          <w:rFonts w:hint="eastAsia" w:ascii="仿宋" w:hAnsi="仿宋" w:eastAsia="仿宋" w:cs="宋体"/>
          <w:color w:val="000000"/>
          <w:kern w:val="0"/>
          <w:sz w:val="24"/>
        </w:rPr>
        <w:t>。在理财产品季度、半年和年度报告中披露理财产品组合资产情况及其流动性风险分析。</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6</w:t>
      </w:r>
      <w:r>
        <w:rPr>
          <w:rFonts w:hint="eastAsia" w:ascii="仿宋" w:hAnsi="仿宋" w:eastAsia="仿宋" w:cs="宋体"/>
          <w:color w:val="000000"/>
          <w:kern w:val="0"/>
          <w:sz w:val="24"/>
        </w:rPr>
        <w:t>.</w:t>
      </w:r>
      <w:r>
        <w:rPr>
          <w:rFonts w:ascii="仿宋" w:hAnsi="仿宋" w:eastAsia="仿宋" w:cs="宋体"/>
          <w:color w:val="000000"/>
          <w:kern w:val="0"/>
          <w:sz w:val="24"/>
        </w:rPr>
        <w:t>如</w:t>
      </w:r>
      <w:r>
        <w:rPr>
          <w:rFonts w:hint="eastAsia" w:ascii="仿宋" w:hAnsi="仿宋" w:eastAsia="仿宋" w:cs="宋体"/>
          <w:color w:val="000000"/>
          <w:kern w:val="0"/>
          <w:sz w:val="24"/>
        </w:rPr>
        <w:t>华夏理财</w:t>
      </w:r>
      <w:r>
        <w:rPr>
          <w:rFonts w:ascii="仿宋" w:hAnsi="仿宋" w:eastAsia="仿宋" w:cs="宋体"/>
          <w:color w:val="000000"/>
          <w:kern w:val="0"/>
          <w:sz w:val="24"/>
        </w:rPr>
        <w:t>决定</w:t>
      </w:r>
      <w:r>
        <w:rPr>
          <w:rFonts w:hint="eastAsia" w:ascii="仿宋" w:hAnsi="仿宋" w:eastAsia="仿宋" w:cs="宋体"/>
          <w:color w:val="000000"/>
          <w:kern w:val="0"/>
          <w:sz w:val="24"/>
        </w:rPr>
        <w:t>提前</w:t>
      </w:r>
      <w:r>
        <w:rPr>
          <w:rFonts w:ascii="仿宋" w:hAnsi="仿宋" w:eastAsia="仿宋" w:cs="宋体"/>
          <w:color w:val="000000"/>
          <w:kern w:val="0"/>
          <w:sz w:val="24"/>
        </w:rPr>
        <w:t>终止本理财产品，将于</w:t>
      </w:r>
      <w:r>
        <w:rPr>
          <w:rFonts w:hint="eastAsia" w:ascii="仿宋" w:hAnsi="仿宋" w:eastAsia="仿宋" w:cs="宋体"/>
          <w:color w:val="000000"/>
          <w:kern w:val="0"/>
          <w:sz w:val="24"/>
        </w:rPr>
        <w:t>提前</w:t>
      </w:r>
      <w:r>
        <w:rPr>
          <w:rFonts w:ascii="仿宋" w:hAnsi="仿宋" w:eastAsia="仿宋" w:cs="宋体"/>
          <w:color w:val="000000"/>
          <w:kern w:val="0"/>
          <w:sz w:val="24"/>
        </w:rPr>
        <w:t>终止日的前3个工作日</w:t>
      </w:r>
      <w:r>
        <w:rPr>
          <w:rFonts w:hint="eastAsia" w:ascii="仿宋" w:hAnsi="仿宋" w:eastAsia="仿宋" w:cs="宋体"/>
          <w:color w:val="000000"/>
          <w:kern w:val="0"/>
          <w:sz w:val="24"/>
        </w:rPr>
        <w:t>通过本产品说明书约定的信息披露渠道发布相关公告</w:t>
      </w:r>
      <w:r>
        <w:rPr>
          <w:rFonts w:ascii="仿宋" w:hAnsi="仿宋" w:eastAsia="仿宋" w:cs="宋体"/>
          <w:color w:val="000000"/>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7</w:t>
      </w:r>
      <w:r>
        <w:rPr>
          <w:rFonts w:hint="eastAsia" w:ascii="仿宋" w:hAnsi="仿宋" w:eastAsia="仿宋" w:cs="宋体"/>
          <w:color w:val="000000"/>
          <w:kern w:val="0"/>
          <w:sz w:val="24"/>
        </w:rPr>
        <w:t>.</w:t>
      </w:r>
      <w:r>
        <w:rPr>
          <w:rFonts w:ascii="仿宋" w:hAnsi="仿宋" w:eastAsia="仿宋" w:cs="宋体"/>
          <w:color w:val="000000"/>
          <w:kern w:val="0"/>
          <w:sz w:val="24"/>
        </w:rPr>
        <w:t>产品</w:t>
      </w:r>
      <w:r>
        <w:rPr>
          <w:rFonts w:hint="eastAsia" w:ascii="仿宋" w:hAnsi="仿宋" w:eastAsia="仿宋" w:cs="宋体"/>
          <w:color w:val="000000"/>
          <w:kern w:val="0"/>
          <w:sz w:val="24"/>
        </w:rPr>
        <w:t>到期/</w:t>
      </w:r>
      <w:r>
        <w:rPr>
          <w:rFonts w:ascii="仿宋" w:hAnsi="仿宋" w:eastAsia="仿宋" w:cs="宋体"/>
          <w:color w:val="000000"/>
          <w:kern w:val="0"/>
          <w:sz w:val="24"/>
        </w:rPr>
        <w:t>终止后</w:t>
      </w:r>
      <w:r>
        <w:rPr>
          <w:rFonts w:hint="eastAsia" w:ascii="仿宋" w:hAnsi="仿宋" w:eastAsia="仿宋" w:cs="宋体"/>
          <w:color w:val="000000"/>
          <w:kern w:val="0"/>
          <w:sz w:val="24"/>
        </w:rPr>
        <w:t>5</w:t>
      </w:r>
      <w:r>
        <w:rPr>
          <w:rFonts w:ascii="仿宋" w:hAnsi="仿宋" w:eastAsia="仿宋" w:cs="宋体"/>
          <w:color w:val="000000"/>
          <w:kern w:val="0"/>
          <w:sz w:val="24"/>
        </w:rPr>
        <w:t>个工作日内，华夏</w:t>
      </w:r>
      <w:r>
        <w:rPr>
          <w:rFonts w:hint="eastAsia" w:ascii="仿宋" w:hAnsi="仿宋" w:eastAsia="仿宋" w:cs="宋体"/>
          <w:color w:val="000000"/>
          <w:kern w:val="0"/>
          <w:sz w:val="24"/>
        </w:rPr>
        <w:t>理财</w:t>
      </w:r>
      <w:r>
        <w:rPr>
          <w:rFonts w:ascii="仿宋" w:hAnsi="仿宋" w:eastAsia="仿宋" w:cs="宋体"/>
          <w:color w:val="000000"/>
          <w:kern w:val="0"/>
          <w:sz w:val="24"/>
        </w:rPr>
        <w:t>将发布产品到期</w:t>
      </w:r>
      <w:r>
        <w:rPr>
          <w:rFonts w:hint="eastAsia" w:ascii="仿宋" w:hAnsi="仿宋" w:eastAsia="仿宋" w:cs="宋体"/>
          <w:color w:val="000000"/>
          <w:kern w:val="0"/>
          <w:sz w:val="24"/>
        </w:rPr>
        <w:t>/终止</w:t>
      </w:r>
      <w:r>
        <w:rPr>
          <w:rFonts w:ascii="仿宋" w:hAnsi="仿宋" w:eastAsia="仿宋" w:cs="宋体"/>
          <w:color w:val="000000"/>
          <w:kern w:val="0"/>
          <w:sz w:val="24"/>
        </w:rPr>
        <w:t>报告。</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kern w:val="0"/>
          <w:sz w:val="24"/>
        </w:rPr>
        <w:t>8</w:t>
      </w:r>
      <w:r>
        <w:rPr>
          <w:rFonts w:hint="eastAsia" w:ascii="仿宋" w:hAnsi="仿宋" w:eastAsia="仿宋" w:cs="宋体"/>
          <w:kern w:val="0"/>
          <w:sz w:val="24"/>
        </w:rPr>
        <w:t>．本理财产品</w:t>
      </w:r>
      <w:r>
        <w:rPr>
          <w:rFonts w:ascii="仿宋" w:hAnsi="仿宋" w:eastAsia="仿宋" w:cs="宋体"/>
          <w:kern w:val="0"/>
          <w:sz w:val="24"/>
        </w:rPr>
        <w:t>将</w:t>
      </w:r>
      <w:r>
        <w:rPr>
          <w:rFonts w:hint="eastAsia" w:ascii="仿宋" w:hAnsi="仿宋" w:eastAsia="仿宋" w:cs="宋体"/>
          <w:kern w:val="0"/>
          <w:sz w:val="24"/>
        </w:rPr>
        <w:t>按</w:t>
      </w: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、产品概述”</w:t>
      </w:r>
      <w:r>
        <w:rPr>
          <w:rFonts w:hint="eastAsia" w:ascii="仿宋" w:hAnsi="仿宋" w:eastAsia="仿宋" w:cs="宋体"/>
          <w:kern w:val="0"/>
          <w:sz w:val="24"/>
        </w:rPr>
        <w:t>“份额净值公告日”</w:t>
      </w:r>
      <w:r>
        <w:rPr>
          <w:rFonts w:ascii="仿宋" w:hAnsi="仿宋" w:eastAsia="仿宋" w:cs="宋体"/>
          <w:kern w:val="0"/>
          <w:sz w:val="24"/>
        </w:rPr>
        <w:t>约定披露产品净值</w:t>
      </w:r>
      <w:r>
        <w:rPr>
          <w:rFonts w:hint="eastAsia" w:ascii="仿宋" w:hAnsi="仿宋" w:eastAsia="仿宋" w:cs="宋体"/>
          <w:kern w:val="0"/>
          <w:sz w:val="24"/>
        </w:rPr>
        <w:t>。</w:t>
      </w:r>
    </w:p>
    <w:p>
      <w:pPr>
        <w:pStyle w:val="22"/>
        <w:snapToGrid w:val="0"/>
        <w:spacing w:line="276" w:lineRule="auto"/>
        <w:ind w:firstLine="480" w:firstLineChars="200"/>
        <w:contextualSpacing/>
        <w:outlineLvl w:val="1"/>
        <w:rPr>
          <w:rFonts w:ascii="仿宋" w:hAnsi="仿宋" w:eastAsia="仿宋"/>
        </w:rPr>
      </w:pPr>
      <w:r>
        <w:rPr>
          <w:rFonts w:ascii="仿宋" w:hAnsi="仿宋" w:eastAsia="仿宋"/>
        </w:rPr>
        <w:t>（二）理财产品临时</w:t>
      </w:r>
      <w:r>
        <w:rPr>
          <w:rFonts w:hint="eastAsia" w:ascii="仿宋" w:hAnsi="仿宋" w:eastAsia="仿宋"/>
        </w:rPr>
        <w:t>性</w:t>
      </w:r>
      <w:r>
        <w:rPr>
          <w:rFonts w:ascii="仿宋" w:hAnsi="仿宋" w:eastAsia="仿宋"/>
        </w:rPr>
        <w:t>信息披露</w:t>
      </w:r>
      <w:r>
        <w:rPr>
          <w:rFonts w:hint="eastAsia" w:ascii="仿宋" w:hAnsi="仿宋" w:eastAsia="仿宋"/>
        </w:rPr>
        <w:t>及重大事项公告</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1</w:t>
      </w:r>
      <w:r>
        <w:rPr>
          <w:rFonts w:hint="eastAsia" w:ascii="仿宋" w:hAnsi="仿宋" w:eastAsia="仿宋" w:cs="宋体"/>
          <w:color w:val="000000"/>
          <w:kern w:val="0"/>
          <w:sz w:val="24"/>
        </w:rPr>
        <w:t>.</w:t>
      </w:r>
      <w:r>
        <w:rPr>
          <w:rFonts w:hint="eastAsia" w:ascii="仿宋" w:hAnsi="仿宋" w:eastAsia="仿宋" w:cs="宋体"/>
          <w:kern w:val="0"/>
          <w:sz w:val="24"/>
        </w:rPr>
        <w:t>根据监管规定及业务需要，管理人可进行临时信息披露，涉及事项包括但不限于：管理人、托管人发生变更、</w:t>
      </w:r>
      <w:r>
        <w:rPr>
          <w:rFonts w:ascii="仿宋" w:hAnsi="仿宋" w:eastAsia="仿宋" w:cs="宋体"/>
          <w:kern w:val="0"/>
          <w:sz w:val="24"/>
        </w:rPr>
        <w:t>调整</w:t>
      </w:r>
      <w:r>
        <w:rPr>
          <w:rFonts w:hint="eastAsia" w:ascii="仿宋" w:hAnsi="仿宋" w:eastAsia="仿宋" w:cs="宋体"/>
          <w:kern w:val="0"/>
          <w:sz w:val="24"/>
        </w:rPr>
        <w:t>业绩比较基准以及</w:t>
      </w:r>
      <w:r>
        <w:rPr>
          <w:rFonts w:ascii="仿宋" w:hAnsi="仿宋" w:eastAsia="仿宋" w:cs="宋体"/>
          <w:kern w:val="0"/>
          <w:sz w:val="24"/>
        </w:rPr>
        <w:t>其他需披露的事项</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2</w:t>
      </w:r>
      <w:r>
        <w:rPr>
          <w:rFonts w:hint="eastAsia" w:ascii="仿宋" w:hAnsi="仿宋" w:eastAsia="仿宋" w:cs="宋体"/>
          <w:color w:val="000000"/>
          <w:kern w:val="0"/>
          <w:sz w:val="24"/>
        </w:rPr>
        <w:t>.</w:t>
      </w:r>
      <w:r>
        <w:rPr>
          <w:rFonts w:ascii="仿宋" w:hAnsi="仿宋" w:eastAsia="仿宋" w:cs="宋体"/>
          <w:color w:val="000000"/>
          <w:kern w:val="0"/>
          <w:sz w:val="24"/>
        </w:rPr>
        <w:t>本理财产品存续期间如发生华夏</w:t>
      </w:r>
      <w:r>
        <w:rPr>
          <w:rFonts w:hint="eastAsia" w:ascii="仿宋" w:hAnsi="仿宋" w:eastAsia="仿宋" w:cs="宋体"/>
          <w:color w:val="000000"/>
          <w:kern w:val="0"/>
          <w:sz w:val="24"/>
        </w:rPr>
        <w:t>理财</w:t>
      </w:r>
      <w:r>
        <w:rPr>
          <w:rFonts w:ascii="仿宋" w:hAnsi="仿宋" w:eastAsia="仿宋" w:cs="宋体"/>
          <w:color w:val="000000"/>
          <w:kern w:val="0"/>
          <w:sz w:val="24"/>
        </w:rPr>
        <w:t>认为可能影响产品正常运作的重大不利事项时，包括但不限于市场发生重大变化、投资的资产质量发生重大变化或者其它可能对投资者权益产生重大影响的突发事件时，华夏</w:t>
      </w:r>
      <w:r>
        <w:rPr>
          <w:rFonts w:hint="eastAsia" w:ascii="仿宋" w:hAnsi="仿宋" w:eastAsia="仿宋" w:cs="宋体"/>
          <w:color w:val="000000"/>
          <w:kern w:val="0"/>
          <w:sz w:val="24"/>
        </w:rPr>
        <w:t>理财将在事项发生后</w:t>
      </w:r>
      <w:r>
        <w:rPr>
          <w:rFonts w:ascii="仿宋" w:hAnsi="仿宋" w:eastAsia="仿宋" w:cs="宋体"/>
          <w:color w:val="000000"/>
          <w:kern w:val="0"/>
          <w:sz w:val="24"/>
        </w:rPr>
        <w:t>2</w:t>
      </w:r>
      <w:r>
        <w:rPr>
          <w:rFonts w:hint="eastAsia" w:ascii="仿宋" w:hAnsi="仿宋" w:eastAsia="仿宋" w:cs="宋体"/>
          <w:color w:val="000000"/>
          <w:kern w:val="0"/>
          <w:sz w:val="24"/>
        </w:rPr>
        <w:t>个</w:t>
      </w:r>
      <w:r>
        <w:rPr>
          <w:rFonts w:ascii="仿宋" w:hAnsi="仿宋" w:eastAsia="仿宋" w:cs="宋体"/>
          <w:color w:val="000000"/>
          <w:kern w:val="0"/>
          <w:sz w:val="24"/>
        </w:rPr>
        <w:t>工作</w:t>
      </w:r>
      <w:r>
        <w:rPr>
          <w:rFonts w:hint="eastAsia" w:ascii="仿宋" w:hAnsi="仿宋" w:eastAsia="仿宋" w:cs="宋体"/>
          <w:color w:val="000000"/>
          <w:kern w:val="0"/>
          <w:sz w:val="24"/>
        </w:rPr>
        <w:t>日内通过本产品说明书约定的信息披露渠道予以披露</w:t>
      </w:r>
      <w:r>
        <w:rPr>
          <w:rFonts w:ascii="仿宋" w:hAnsi="仿宋" w:eastAsia="仿宋" w:cs="宋体"/>
          <w:color w:val="000000"/>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3．</w:t>
      </w:r>
      <w:r>
        <w:rPr>
          <w:rFonts w:ascii="仿宋" w:hAnsi="仿宋" w:eastAsia="仿宋" w:cs="宋体"/>
          <w:kern w:val="0"/>
          <w:sz w:val="24"/>
        </w:rPr>
        <w:t>管理人</w:t>
      </w:r>
      <w:r>
        <w:rPr>
          <w:rFonts w:hint="eastAsia" w:ascii="仿宋" w:hAnsi="仿宋" w:eastAsia="仿宋" w:cs="宋体"/>
          <w:kern w:val="0"/>
          <w:sz w:val="24"/>
        </w:rPr>
        <w:t>有权调整管理费（含</w:t>
      </w:r>
      <w:r>
        <w:rPr>
          <w:rFonts w:ascii="仿宋" w:hAnsi="仿宋" w:eastAsia="仿宋" w:cs="宋体"/>
          <w:kern w:val="0"/>
          <w:sz w:val="24"/>
        </w:rPr>
        <w:t>固定管理费、</w:t>
      </w:r>
      <w:r>
        <w:rPr>
          <w:rFonts w:hint="eastAsia" w:ascii="仿宋" w:hAnsi="仿宋" w:eastAsia="仿宋"/>
          <w:sz w:val="24"/>
        </w:rPr>
        <w:t>超额管理费</w:t>
      </w:r>
      <w:r>
        <w:rPr>
          <w:rFonts w:hint="eastAsia" w:ascii="仿宋" w:hAnsi="仿宋" w:eastAsia="仿宋" w:cs="宋体"/>
          <w:kern w:val="0"/>
          <w:sz w:val="24"/>
        </w:rPr>
        <w:t>）</w:t>
      </w:r>
      <w:r>
        <w:rPr>
          <w:rFonts w:ascii="仿宋" w:hAnsi="仿宋" w:eastAsia="仿宋" w:cs="宋体"/>
          <w:kern w:val="0"/>
          <w:sz w:val="24"/>
        </w:rPr>
        <w:t>、托管费、销售</w:t>
      </w:r>
      <w:r>
        <w:rPr>
          <w:rFonts w:hint="eastAsia" w:ascii="仿宋" w:hAnsi="仿宋" w:eastAsia="仿宋" w:cs="宋体"/>
          <w:kern w:val="0"/>
          <w:sz w:val="24"/>
        </w:rPr>
        <w:t>手续</w:t>
      </w:r>
      <w:r>
        <w:rPr>
          <w:rFonts w:ascii="仿宋" w:hAnsi="仿宋" w:eastAsia="仿宋" w:cs="宋体"/>
          <w:kern w:val="0"/>
          <w:sz w:val="24"/>
        </w:rPr>
        <w:t>费</w:t>
      </w:r>
      <w:r>
        <w:rPr>
          <w:rFonts w:hint="eastAsia" w:ascii="仿宋" w:hAnsi="仿宋" w:eastAsia="仿宋"/>
          <w:sz w:val="24"/>
        </w:rPr>
        <w:t>等费用</w:t>
      </w:r>
      <w:r>
        <w:rPr>
          <w:rFonts w:ascii="仿宋" w:hAnsi="仿宋" w:eastAsia="仿宋" w:cs="宋体"/>
          <w:kern w:val="0"/>
          <w:sz w:val="24"/>
        </w:rPr>
        <w:t>的</w:t>
      </w:r>
      <w:r>
        <w:rPr>
          <w:rFonts w:hint="eastAsia" w:ascii="仿宋" w:hAnsi="仿宋" w:eastAsia="仿宋" w:cs="宋体"/>
          <w:kern w:val="0"/>
          <w:sz w:val="24"/>
        </w:rPr>
        <w:t>收费项目、条件、标准和方式，并</w:t>
      </w:r>
      <w:r>
        <w:rPr>
          <w:rFonts w:ascii="仿宋" w:hAnsi="仿宋" w:eastAsia="仿宋" w:cs="宋体"/>
          <w:color w:val="000000"/>
          <w:kern w:val="0"/>
          <w:sz w:val="24"/>
        </w:rPr>
        <w:t>将于</w:t>
      </w:r>
      <w:r>
        <w:rPr>
          <w:rFonts w:hint="eastAsia" w:ascii="仿宋" w:hAnsi="仿宋" w:eastAsia="仿宋" w:cs="宋体"/>
          <w:color w:val="000000"/>
          <w:kern w:val="0"/>
          <w:sz w:val="24"/>
        </w:rPr>
        <w:t>上述调整生效</w:t>
      </w:r>
      <w:r>
        <w:rPr>
          <w:rFonts w:ascii="仿宋" w:hAnsi="仿宋" w:eastAsia="仿宋" w:cs="宋体"/>
          <w:color w:val="000000"/>
          <w:kern w:val="0"/>
          <w:sz w:val="24"/>
        </w:rPr>
        <w:t>日的前3个工作日</w:t>
      </w:r>
      <w:r>
        <w:rPr>
          <w:rFonts w:hint="eastAsia" w:ascii="仿宋" w:hAnsi="仿宋" w:eastAsia="仿宋" w:cs="宋体"/>
          <w:kern w:val="0"/>
          <w:sz w:val="24"/>
        </w:rPr>
        <w:t>通过</w:t>
      </w:r>
      <w:r>
        <w:rPr>
          <w:rFonts w:hint="eastAsia" w:ascii="仿宋" w:hAnsi="仿宋" w:eastAsia="仿宋" w:cs="宋体"/>
          <w:color w:val="000000"/>
          <w:kern w:val="0"/>
          <w:sz w:val="24"/>
        </w:rPr>
        <w:t>本产品说明书约定的</w:t>
      </w:r>
      <w:r>
        <w:rPr>
          <w:rFonts w:hint="eastAsia" w:ascii="仿宋" w:hAnsi="仿宋" w:eastAsia="仿宋" w:cs="宋体"/>
          <w:kern w:val="0"/>
          <w:sz w:val="24"/>
        </w:rPr>
        <w:t>信息披露</w:t>
      </w:r>
      <w:r>
        <w:rPr>
          <w:rFonts w:hint="eastAsia" w:ascii="仿宋" w:hAnsi="仿宋" w:eastAsia="仿宋" w:cs="宋体"/>
          <w:color w:val="000000"/>
          <w:kern w:val="0"/>
          <w:sz w:val="24"/>
        </w:rPr>
        <w:t>渠道予以公告</w:t>
      </w:r>
      <w:r>
        <w:rPr>
          <w:rFonts w:hint="eastAsia" w:ascii="仿宋" w:hAnsi="仿宋" w:eastAsia="仿宋" w:cs="宋体"/>
          <w:kern w:val="0"/>
          <w:sz w:val="24"/>
        </w:rPr>
        <w:t>；其中，对于华夏理财增加费用名目、提高收费标准等对投资者利益产生实质不利影响的情形，投资者如不接受，可按</w:t>
      </w:r>
      <w:r>
        <w:rPr>
          <w:rFonts w:ascii="仿宋" w:hAnsi="仿宋" w:eastAsia="仿宋" w:cs="宋体"/>
          <w:kern w:val="0"/>
          <w:sz w:val="24"/>
        </w:rPr>
        <w:t>信息披露中确定的方式</w:t>
      </w:r>
      <w:r>
        <w:rPr>
          <w:rFonts w:hint="eastAsia" w:ascii="仿宋" w:hAnsi="仿宋" w:eastAsia="仿宋" w:cs="宋体"/>
          <w:kern w:val="0"/>
          <w:sz w:val="24"/>
        </w:rPr>
        <w:t>和</w:t>
      </w:r>
      <w:r>
        <w:rPr>
          <w:rFonts w:ascii="仿宋" w:hAnsi="仿宋" w:eastAsia="仿宋" w:cs="宋体"/>
          <w:kern w:val="0"/>
          <w:sz w:val="24"/>
        </w:rPr>
        <w:t>时限</w:t>
      </w:r>
      <w:r>
        <w:rPr>
          <w:rFonts w:hint="eastAsia" w:ascii="仿宋" w:hAnsi="仿宋" w:eastAsia="仿宋" w:cs="宋体"/>
          <w:kern w:val="0"/>
          <w:sz w:val="24"/>
        </w:rPr>
        <w:t>提前赎回本理财产品。</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4</w:t>
      </w:r>
      <w:r>
        <w:rPr>
          <w:rFonts w:hint="eastAsia" w:ascii="仿宋" w:hAnsi="仿宋" w:eastAsia="仿宋" w:cs="宋体"/>
          <w:kern w:val="0"/>
          <w:sz w:val="24"/>
        </w:rPr>
        <w:t>．</w:t>
      </w:r>
      <w:r>
        <w:rPr>
          <w:rFonts w:ascii="仿宋" w:hAnsi="仿宋" w:eastAsia="仿宋" w:cs="宋体"/>
          <w:kern w:val="0"/>
          <w:sz w:val="24"/>
        </w:rPr>
        <w:t>管理人</w:t>
      </w:r>
      <w:r>
        <w:rPr>
          <w:rFonts w:hint="eastAsia" w:ascii="仿宋" w:hAnsi="仿宋" w:eastAsia="仿宋" w:cs="宋体"/>
          <w:kern w:val="0"/>
          <w:sz w:val="24"/>
        </w:rPr>
        <w:t>有权根据市场情况调整本理财产品</w:t>
      </w:r>
      <w:r>
        <w:rPr>
          <w:rFonts w:ascii="仿宋" w:hAnsi="仿宋" w:eastAsia="仿宋" w:cs="宋体"/>
          <w:kern w:val="0"/>
          <w:sz w:val="24"/>
        </w:rPr>
        <w:t>的</w:t>
      </w:r>
      <w:r>
        <w:rPr>
          <w:rFonts w:hint="eastAsia" w:ascii="仿宋" w:hAnsi="仿宋" w:eastAsia="仿宋" w:cs="宋体"/>
          <w:kern w:val="0"/>
          <w:sz w:val="24"/>
        </w:rPr>
        <w:t>投资范围、投资资产种类或投资比例，并通过</w:t>
      </w:r>
      <w:r>
        <w:rPr>
          <w:rFonts w:hint="eastAsia" w:ascii="仿宋" w:hAnsi="仿宋" w:eastAsia="仿宋" w:cs="宋体"/>
          <w:color w:val="000000"/>
          <w:kern w:val="0"/>
          <w:sz w:val="24"/>
        </w:rPr>
        <w:t>本产品说明书约定的</w:t>
      </w:r>
      <w:r>
        <w:rPr>
          <w:rFonts w:hint="eastAsia" w:ascii="仿宋" w:hAnsi="仿宋" w:eastAsia="仿宋" w:cs="宋体"/>
          <w:kern w:val="0"/>
          <w:sz w:val="24"/>
        </w:rPr>
        <w:t>信息披露</w:t>
      </w:r>
      <w:r>
        <w:rPr>
          <w:rFonts w:hint="eastAsia" w:ascii="仿宋" w:hAnsi="仿宋" w:eastAsia="仿宋" w:cs="宋体"/>
          <w:color w:val="000000"/>
          <w:kern w:val="0"/>
          <w:sz w:val="24"/>
        </w:rPr>
        <w:t>渠道予以公告</w:t>
      </w:r>
      <w:r>
        <w:rPr>
          <w:rFonts w:hint="eastAsia" w:ascii="仿宋" w:hAnsi="仿宋" w:eastAsia="仿宋" w:cs="宋体"/>
          <w:kern w:val="0"/>
          <w:sz w:val="24"/>
        </w:rPr>
        <w:t>。具体</w:t>
      </w:r>
      <w:r>
        <w:rPr>
          <w:rFonts w:ascii="仿宋" w:hAnsi="仿宋" w:eastAsia="仿宋" w:cs="宋体"/>
          <w:kern w:val="0"/>
          <w:sz w:val="24"/>
        </w:rPr>
        <w:t>规则详见</w:t>
      </w:r>
      <w:r>
        <w:rPr>
          <w:rFonts w:hint="eastAsia" w:ascii="仿宋" w:hAnsi="仿宋" w:eastAsia="仿宋" w:cs="宋体"/>
          <w:kern w:val="0"/>
          <w:sz w:val="24"/>
        </w:rPr>
        <w:t>“二</w:t>
      </w:r>
      <w:r>
        <w:rPr>
          <w:rFonts w:ascii="仿宋" w:hAnsi="仿宋" w:eastAsia="仿宋" w:cs="宋体"/>
          <w:kern w:val="0"/>
          <w:sz w:val="24"/>
        </w:rPr>
        <w:t>、投资对象</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仿宋"/>
          <w:b/>
          <w:kern w:val="0"/>
          <w:sz w:val="24"/>
        </w:rPr>
      </w:pPr>
      <w:r>
        <w:rPr>
          <w:rFonts w:ascii="仿宋" w:hAnsi="仿宋" w:eastAsia="仿宋" w:cs="宋体"/>
          <w:kern w:val="0"/>
          <w:sz w:val="24"/>
        </w:rPr>
        <w:t>5</w:t>
      </w:r>
      <w:r>
        <w:rPr>
          <w:rFonts w:hint="eastAsia" w:ascii="仿宋" w:hAnsi="仿宋" w:eastAsia="仿宋" w:cs="宋体"/>
          <w:kern w:val="0"/>
          <w:sz w:val="24"/>
        </w:rPr>
        <w:t>．</w:t>
      </w:r>
      <w:r>
        <w:rPr>
          <w:rFonts w:hint="eastAsia" w:ascii="仿宋" w:hAnsi="仿宋" w:eastAsia="仿宋" w:cs="仿宋"/>
          <w:kern w:val="0"/>
          <w:sz w:val="24"/>
        </w:rPr>
        <w:t>在发生涉及理财产品认（申）购、赎回事项调整或潜在影响投资者赎回等事项时，</w:t>
      </w:r>
      <w:r>
        <w:rPr>
          <w:rFonts w:ascii="仿宋" w:hAnsi="仿宋" w:eastAsia="仿宋" w:cs="宋体"/>
          <w:kern w:val="0"/>
          <w:sz w:val="24"/>
        </w:rPr>
        <w:t>管理人</w:t>
      </w:r>
      <w:r>
        <w:rPr>
          <w:rFonts w:hint="eastAsia" w:ascii="仿宋" w:hAnsi="仿宋" w:eastAsia="仿宋" w:cs="仿宋"/>
          <w:kern w:val="0"/>
          <w:sz w:val="24"/>
        </w:rPr>
        <w:t>将通过</w:t>
      </w:r>
      <w:r>
        <w:rPr>
          <w:rFonts w:hint="eastAsia" w:ascii="仿宋" w:hAnsi="仿宋" w:eastAsia="仿宋" w:cs="宋体"/>
          <w:color w:val="000000"/>
          <w:kern w:val="0"/>
          <w:sz w:val="24"/>
        </w:rPr>
        <w:t>本产品说明书约定的信息披露渠道</w:t>
      </w:r>
      <w:r>
        <w:rPr>
          <w:rFonts w:hint="eastAsia" w:ascii="仿宋" w:hAnsi="仿宋" w:eastAsia="仿宋" w:cs="仿宋"/>
          <w:kern w:val="0"/>
          <w:sz w:val="24"/>
        </w:rPr>
        <w:t>发布临时公告。</w:t>
      </w:r>
    </w:p>
    <w:p>
      <w:pPr>
        <w:autoSpaceDE w:val="0"/>
        <w:autoSpaceDN w:val="0"/>
        <w:adjustRightInd w:val="0"/>
        <w:snapToGrid w:val="0"/>
        <w:spacing w:line="276" w:lineRule="auto"/>
        <w:ind w:firstLine="480" w:firstLineChars="200"/>
        <w:rPr>
          <w:rFonts w:ascii="仿宋" w:hAnsi="仿宋" w:eastAsia="仿宋" w:cs="仿宋"/>
          <w:kern w:val="0"/>
          <w:sz w:val="24"/>
        </w:rPr>
      </w:pPr>
      <w:r>
        <w:rPr>
          <w:rFonts w:ascii="仿宋" w:hAnsi="仿宋" w:eastAsia="仿宋" w:cs="宋体"/>
          <w:kern w:val="0"/>
          <w:sz w:val="24"/>
        </w:rPr>
        <w:t>6</w:t>
      </w:r>
      <w:r>
        <w:rPr>
          <w:rFonts w:hint="eastAsia" w:ascii="仿宋" w:hAnsi="仿宋" w:eastAsia="仿宋" w:cs="宋体"/>
          <w:kern w:val="0"/>
          <w:sz w:val="24"/>
        </w:rPr>
        <w:t>．</w:t>
      </w:r>
      <w:r>
        <w:rPr>
          <w:rFonts w:hint="eastAsia" w:ascii="仿宋" w:hAnsi="仿宋" w:eastAsia="仿宋" w:cs="仿宋"/>
          <w:kern w:val="0"/>
          <w:sz w:val="24"/>
        </w:rPr>
        <w:t>在运用收取短期赎回费、摆动定价等措施后，</w:t>
      </w:r>
      <w:r>
        <w:rPr>
          <w:rFonts w:hint="eastAsia" w:ascii="仿宋" w:hAnsi="仿宋" w:eastAsia="仿宋" w:cs="宋体"/>
          <w:kern w:val="0"/>
          <w:sz w:val="24"/>
        </w:rPr>
        <w:t>管理人将</w:t>
      </w:r>
      <w:r>
        <w:rPr>
          <w:rFonts w:hint="eastAsia" w:ascii="仿宋" w:hAnsi="仿宋" w:eastAsia="仿宋" w:cs="仿宋"/>
          <w:kern w:val="0"/>
          <w:sz w:val="24"/>
        </w:rPr>
        <w:t>在3个工作日内，通过</w:t>
      </w:r>
      <w:r>
        <w:rPr>
          <w:rFonts w:hint="eastAsia" w:ascii="仿宋" w:hAnsi="仿宋" w:eastAsia="仿宋" w:cs="宋体"/>
          <w:kern w:val="0"/>
          <w:sz w:val="24"/>
        </w:rPr>
        <w:t>本产品说明书约定的信息披露渠道披露</w:t>
      </w:r>
      <w:r>
        <w:rPr>
          <w:rFonts w:hint="eastAsia" w:ascii="仿宋" w:hAnsi="仿宋" w:eastAsia="仿宋" w:cs="仿宋"/>
          <w:kern w:val="0"/>
          <w:sz w:val="24"/>
        </w:rPr>
        <w:t>相关信息。</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kern w:val="0"/>
          <w:sz w:val="24"/>
        </w:rPr>
        <w:t>7．</w:t>
      </w:r>
      <w:r>
        <w:rPr>
          <w:rFonts w:hint="eastAsia" w:ascii="仿宋" w:hAnsi="仿宋" w:eastAsia="仿宋" w:cs="仿宋"/>
          <w:kern w:val="0"/>
          <w:sz w:val="24"/>
        </w:rPr>
        <w:t>在运用暂停认（申）购、延期办理巨额赎回申请、暂停接受赎回申请、延缓支付赎回款项、暂停理财产品估值等措施后，</w:t>
      </w:r>
      <w:r>
        <w:rPr>
          <w:rFonts w:hint="eastAsia" w:ascii="仿宋" w:hAnsi="仿宋" w:eastAsia="仿宋" w:cs="宋体"/>
          <w:kern w:val="0"/>
          <w:sz w:val="24"/>
        </w:rPr>
        <w:t>管理人</w:t>
      </w:r>
      <w:r>
        <w:rPr>
          <w:rFonts w:hint="eastAsia" w:ascii="仿宋" w:hAnsi="仿宋" w:eastAsia="仿宋" w:cs="仿宋"/>
          <w:kern w:val="0"/>
          <w:sz w:val="24"/>
        </w:rPr>
        <w:t>将在3个工作日内，通过</w:t>
      </w:r>
      <w:r>
        <w:rPr>
          <w:rFonts w:hint="eastAsia" w:ascii="仿宋" w:hAnsi="仿宋" w:eastAsia="仿宋" w:cs="宋体"/>
          <w:kern w:val="0"/>
          <w:sz w:val="24"/>
        </w:rPr>
        <w:t>本产品说明书约定的信息披露渠道披露</w:t>
      </w:r>
      <w:r>
        <w:rPr>
          <w:rFonts w:hint="eastAsia" w:ascii="仿宋" w:hAnsi="仿宋" w:eastAsia="仿宋" w:cs="仿宋"/>
          <w:kern w:val="0"/>
          <w:sz w:val="24"/>
        </w:rPr>
        <w:t>相关信息，并说明运用相关措施的原因、拟采取的应对安排等。</w:t>
      </w:r>
    </w:p>
    <w:p>
      <w:pPr>
        <w:pStyle w:val="22"/>
        <w:snapToGrid w:val="0"/>
        <w:spacing w:line="276" w:lineRule="auto"/>
        <w:ind w:firstLine="480" w:firstLineChars="200"/>
        <w:contextualSpacing/>
        <w:outlineLvl w:val="1"/>
        <w:rPr>
          <w:rFonts w:ascii="仿宋" w:hAnsi="仿宋" w:eastAsia="仿宋"/>
        </w:rPr>
      </w:pPr>
      <w:r>
        <w:rPr>
          <w:rFonts w:ascii="仿宋" w:hAnsi="仿宋" w:eastAsia="仿宋"/>
        </w:rPr>
        <w:t>（</w:t>
      </w:r>
      <w:r>
        <w:rPr>
          <w:rFonts w:hint="eastAsia" w:ascii="仿宋" w:hAnsi="仿宋" w:eastAsia="仿宋"/>
        </w:rPr>
        <w:t>三</w:t>
      </w:r>
      <w:r>
        <w:rPr>
          <w:rFonts w:ascii="仿宋" w:hAnsi="仿宋" w:eastAsia="仿宋"/>
        </w:rPr>
        <w:t>）</w:t>
      </w:r>
      <w:r>
        <w:rPr>
          <w:rFonts w:hint="eastAsia" w:ascii="仿宋" w:hAnsi="仿宋" w:eastAsia="仿宋"/>
        </w:rPr>
        <w:t>管理人</w:t>
      </w:r>
      <w:r>
        <w:rPr>
          <w:rFonts w:ascii="仿宋" w:hAnsi="仿宋" w:eastAsia="仿宋"/>
        </w:rPr>
        <w:t>信息披露</w:t>
      </w:r>
      <w:r>
        <w:rPr>
          <w:rFonts w:hint="eastAsia" w:ascii="仿宋" w:hAnsi="仿宋" w:eastAsia="仿宋"/>
        </w:rPr>
        <w:t>的方式</w:t>
      </w:r>
      <w:r>
        <w:rPr>
          <w:rFonts w:ascii="仿宋" w:hAnsi="仿宋" w:eastAsia="仿宋"/>
        </w:rPr>
        <w:t>及披露渠道</w:t>
      </w:r>
    </w:p>
    <w:p>
      <w:pPr>
        <w:autoSpaceDE w:val="0"/>
        <w:autoSpaceDN w:val="0"/>
        <w:adjustRightInd w:val="0"/>
        <w:snapToGrid w:val="0"/>
        <w:spacing w:line="276" w:lineRule="auto"/>
        <w:ind w:firstLine="482" w:firstLineChars="200"/>
        <w:contextualSpacing/>
        <w:rPr>
          <w:rFonts w:ascii="仿宋" w:hAnsi="仿宋" w:eastAsia="仿宋" w:cs="宋体"/>
          <w:kern w:val="0"/>
          <w:sz w:val="24"/>
        </w:rPr>
      </w:pPr>
      <w:r>
        <w:rPr>
          <w:rFonts w:hint="eastAsia" w:ascii="仿宋" w:hAnsi="仿宋" w:eastAsia="仿宋" w:cs="宋体"/>
          <w:b/>
          <w:kern w:val="0"/>
          <w:sz w:val="24"/>
        </w:rPr>
        <w:t>管理人将通过华夏理财有限责任公司官方网站（www.hxwm.com.cn）、</w:t>
      </w:r>
      <w:r>
        <w:rPr>
          <w:rFonts w:ascii="仿宋" w:hAnsi="仿宋" w:eastAsia="仿宋" w:cs="宋体"/>
          <w:b/>
          <w:kern w:val="0"/>
          <w:sz w:val="24"/>
        </w:rPr>
        <w:t>华夏银行</w:t>
      </w:r>
      <w:r>
        <w:rPr>
          <w:rFonts w:hint="eastAsia" w:ascii="仿宋" w:hAnsi="仿宋" w:eastAsia="仿宋" w:cs="宋体"/>
          <w:b/>
          <w:kern w:val="0"/>
          <w:sz w:val="24"/>
        </w:rPr>
        <w:t>官方</w:t>
      </w:r>
      <w:r>
        <w:rPr>
          <w:rFonts w:ascii="仿宋" w:hAnsi="仿宋" w:eastAsia="仿宋" w:cs="宋体"/>
          <w:b/>
          <w:kern w:val="0"/>
          <w:sz w:val="24"/>
        </w:rPr>
        <w:t>网站、</w:t>
      </w:r>
      <w:r>
        <w:rPr>
          <w:rFonts w:hint="eastAsia" w:ascii="仿宋" w:hAnsi="仿宋" w:eastAsia="仿宋" w:cs="宋体"/>
          <w:b/>
          <w:kern w:val="0"/>
          <w:sz w:val="24"/>
        </w:rPr>
        <w:t>代销</w:t>
      </w:r>
      <w:r>
        <w:rPr>
          <w:rFonts w:ascii="仿宋" w:hAnsi="仿宋" w:eastAsia="仿宋" w:cs="宋体"/>
          <w:b/>
          <w:kern w:val="0"/>
          <w:sz w:val="24"/>
        </w:rPr>
        <w:t>机构（如有）信息披露渠道</w:t>
      </w:r>
      <w:r>
        <w:rPr>
          <w:rFonts w:hint="eastAsia" w:ascii="仿宋" w:hAnsi="仿宋" w:eastAsia="仿宋" w:cs="宋体"/>
          <w:b/>
          <w:kern w:val="0"/>
          <w:sz w:val="24"/>
        </w:rPr>
        <w:t>等进行</w:t>
      </w:r>
      <w:r>
        <w:rPr>
          <w:rFonts w:ascii="仿宋" w:hAnsi="仿宋" w:eastAsia="仿宋" w:cs="宋体"/>
          <w:b/>
          <w:kern w:val="0"/>
          <w:sz w:val="24"/>
        </w:rPr>
        <w:t>上述信息的披露。投资者应</w:t>
      </w:r>
      <w:r>
        <w:rPr>
          <w:rFonts w:hint="eastAsia" w:ascii="仿宋" w:hAnsi="仿宋" w:eastAsia="仿宋" w:cs="宋体"/>
          <w:b/>
          <w:kern w:val="0"/>
          <w:sz w:val="24"/>
        </w:rPr>
        <w:t>持续</w:t>
      </w:r>
      <w:r>
        <w:rPr>
          <w:rFonts w:ascii="仿宋" w:hAnsi="仿宋" w:eastAsia="仿宋" w:cs="宋体"/>
          <w:b/>
          <w:kern w:val="0"/>
          <w:sz w:val="24"/>
        </w:rPr>
        <w:t>通过上述渠道获知有关信息或</w:t>
      </w:r>
      <w:r>
        <w:rPr>
          <w:rFonts w:hint="eastAsia" w:ascii="仿宋" w:hAnsi="仿宋" w:eastAsia="仿宋" w:cs="宋体"/>
          <w:b/>
          <w:kern w:val="0"/>
          <w:sz w:val="24"/>
        </w:rPr>
        <w:t>主动</w:t>
      </w:r>
      <w:r>
        <w:rPr>
          <w:rFonts w:ascii="仿宋" w:hAnsi="仿宋" w:eastAsia="仿宋" w:cs="宋体"/>
          <w:b/>
          <w:kern w:val="0"/>
          <w:sz w:val="24"/>
        </w:rPr>
        <w:t>致电</w:t>
      </w:r>
      <w:r>
        <w:rPr>
          <w:rFonts w:hint="eastAsia" w:ascii="仿宋" w:hAnsi="仿宋" w:eastAsia="仿宋" w:cs="宋体"/>
          <w:b/>
          <w:kern w:val="0"/>
          <w:sz w:val="24"/>
        </w:rPr>
        <w:t>华夏理财客户服务热线</w:t>
      </w:r>
      <w:r>
        <w:rPr>
          <w:rFonts w:hint="eastAsia" w:ascii="仿宋" w:hAnsi="仿宋" w:eastAsia="仿宋" w:cs="宋体"/>
          <w:b/>
          <w:kern w:val="0"/>
          <w:sz w:val="24"/>
          <w:lang w:eastAsia="zh-CN"/>
        </w:rPr>
        <w:t>（</w:t>
      </w:r>
      <w:r>
        <w:rPr>
          <w:rFonts w:hint="eastAsia" w:ascii="仿宋" w:hAnsi="仿宋" w:eastAsia="仿宋" w:cs="宋体"/>
          <w:b/>
          <w:kern w:val="0"/>
          <w:sz w:val="24"/>
        </w:rPr>
        <w:t>4001795577</w:t>
      </w:r>
      <w:r>
        <w:rPr>
          <w:rFonts w:hint="eastAsia" w:ascii="仿宋" w:hAnsi="仿宋" w:eastAsia="仿宋" w:cs="宋体"/>
          <w:b/>
          <w:kern w:val="0"/>
          <w:sz w:val="24"/>
          <w:lang w:eastAsia="zh-CN"/>
        </w:rPr>
        <w:t>）</w:t>
      </w:r>
      <w:r>
        <w:rPr>
          <w:rFonts w:hint="eastAsia" w:ascii="仿宋" w:hAnsi="仿宋" w:eastAsia="仿宋" w:cs="宋体"/>
          <w:b/>
          <w:kern w:val="0"/>
          <w:sz w:val="24"/>
        </w:rPr>
        <w:t>、</w:t>
      </w:r>
      <w:r>
        <w:rPr>
          <w:rFonts w:ascii="仿宋" w:hAnsi="仿宋" w:eastAsia="仿宋" w:cs="宋体"/>
          <w:b/>
          <w:kern w:val="0"/>
          <w:sz w:val="24"/>
        </w:rPr>
        <w:t>华夏银行全国统一投资者服务热线（</w:t>
      </w:r>
      <w:r>
        <w:rPr>
          <w:rFonts w:hint="eastAsia" w:ascii="仿宋" w:hAnsi="仿宋" w:eastAsia="仿宋" w:cs="宋体"/>
          <w:b/>
          <w:kern w:val="0"/>
          <w:sz w:val="24"/>
        </w:rPr>
        <w:t>95</w:t>
      </w:r>
      <w:r>
        <w:rPr>
          <w:rFonts w:ascii="仿宋" w:hAnsi="仿宋" w:eastAsia="仿宋" w:cs="宋体"/>
          <w:b/>
          <w:kern w:val="0"/>
          <w:sz w:val="24"/>
        </w:rPr>
        <w:t>577）查询</w:t>
      </w:r>
      <w:r>
        <w:rPr>
          <w:rFonts w:hint="eastAsia" w:ascii="仿宋" w:hAnsi="仿宋" w:eastAsia="仿宋" w:cs="宋体"/>
          <w:kern w:val="0"/>
          <w:sz w:val="24"/>
        </w:rPr>
        <w:t>。</w:t>
      </w:r>
    </w:p>
    <w:p>
      <w:pPr>
        <w:pStyle w:val="22"/>
        <w:snapToGrid w:val="0"/>
        <w:spacing w:line="276" w:lineRule="auto"/>
        <w:ind w:firstLine="480" w:firstLineChars="200"/>
        <w:contextualSpacing/>
        <w:outlineLvl w:val="1"/>
        <w:rPr>
          <w:rFonts w:ascii="仿宋" w:hAnsi="仿宋" w:eastAsia="仿宋"/>
        </w:rPr>
      </w:pPr>
      <w:r>
        <w:rPr>
          <w:rFonts w:hint="eastAsia" w:ascii="仿宋" w:hAnsi="仿宋" w:eastAsia="仿宋"/>
        </w:rPr>
        <w:t>（四）投资者关于信息披露的确认</w:t>
      </w:r>
    </w:p>
    <w:p>
      <w:pPr>
        <w:spacing w:after="156" w:afterLines="50" w:line="276" w:lineRule="auto"/>
        <w:ind w:firstLine="480"/>
        <w:contextualSpacing/>
        <w:rPr>
          <w:rFonts w:eastAsia="黑体"/>
          <w:b/>
        </w:rPr>
      </w:pPr>
      <w:r>
        <w:rPr>
          <w:rFonts w:hint="eastAsia" w:ascii="仿宋" w:hAnsi="仿宋" w:eastAsia="仿宋" w:cs="宋体"/>
          <w:kern w:val="0"/>
          <w:sz w:val="24"/>
        </w:rPr>
        <w:t>投资者确认并同意管理人可以通过上述方式披露理财</w:t>
      </w:r>
      <w:r>
        <w:rPr>
          <w:rFonts w:ascii="仿宋" w:hAnsi="仿宋" w:eastAsia="仿宋" w:cs="宋体"/>
          <w:kern w:val="0"/>
          <w:sz w:val="24"/>
        </w:rPr>
        <w:t>产品</w:t>
      </w:r>
      <w:r>
        <w:rPr>
          <w:rFonts w:hint="eastAsia" w:ascii="仿宋" w:hAnsi="仿宋" w:eastAsia="仿宋" w:cs="宋体"/>
          <w:kern w:val="0"/>
          <w:sz w:val="24"/>
        </w:rPr>
        <w:t>信息。投资者应及时、主动通过上述信息披露渠道浏览并阅读理财</w:t>
      </w:r>
      <w:r>
        <w:rPr>
          <w:rFonts w:ascii="仿宋" w:hAnsi="仿宋" w:eastAsia="仿宋" w:cs="宋体"/>
          <w:kern w:val="0"/>
          <w:sz w:val="24"/>
        </w:rPr>
        <w:t>产品</w:t>
      </w:r>
      <w:r>
        <w:rPr>
          <w:rFonts w:hint="eastAsia" w:ascii="仿宋" w:hAnsi="仿宋" w:eastAsia="仿宋" w:cs="宋体"/>
          <w:kern w:val="0"/>
          <w:sz w:val="24"/>
        </w:rPr>
        <w:t>信息及公告。</w:t>
      </w:r>
    </w:p>
    <w:p>
      <w:pPr>
        <w:pStyle w:val="22"/>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w:t>
      </w:r>
      <w:r>
        <w:rPr>
          <w:rFonts w:ascii="Times New Roman" w:eastAsia="黑体" w:cs="Times New Roman"/>
          <w:b/>
          <w:color w:val="auto"/>
        </w:rPr>
        <w:t>特别提示</w:t>
      </w:r>
    </w:p>
    <w:p>
      <w:pPr>
        <w:autoSpaceDE w:val="0"/>
        <w:autoSpaceDN w:val="0"/>
        <w:adjustRightInd w:val="0"/>
        <w:snapToGrid w:val="0"/>
        <w:spacing w:line="276" w:lineRule="auto"/>
        <w:ind w:firstLine="482" w:firstLineChars="200"/>
        <w:contextualSpacing/>
        <w:rPr>
          <w:rFonts w:ascii="黑体" w:hAnsi="黑体" w:eastAsia="黑体" w:cs="黑体"/>
          <w:b/>
          <w:bCs/>
          <w:color w:val="000000"/>
          <w:kern w:val="0"/>
          <w:sz w:val="24"/>
        </w:rPr>
      </w:pPr>
      <w:r>
        <w:rPr>
          <w:rFonts w:hint="eastAsia" w:ascii="黑体" w:hAnsi="黑体" w:eastAsia="黑体" w:cs="黑体"/>
          <w:b/>
          <w:bCs/>
          <w:color w:val="000000"/>
          <w:kern w:val="0"/>
          <w:sz w:val="24"/>
        </w:rPr>
        <w:t>本理财产品存续期内，如出于维持本产品正常运营的需要且在不损害投资者利益的前提下，或因国家法律法规、监管规定发生变化，华夏理财有权在法律允许的范围内单方修订本产品说明书。华夏理财决定修订产品说明书的，将提前3个工作日以在</w:t>
      </w:r>
      <w:r>
        <w:rPr>
          <w:rFonts w:hint="eastAsia" w:ascii="黑体" w:hAnsi="黑体" w:eastAsia="黑体" w:cs="黑体"/>
          <w:b/>
          <w:bCs/>
          <w:kern w:val="0"/>
          <w:sz w:val="24"/>
        </w:rPr>
        <w:t>华夏理财有限责任公司官方网站（www.hxwm.com.cn）、</w:t>
      </w:r>
      <w:r>
        <w:rPr>
          <w:rFonts w:hint="eastAsia" w:ascii="黑体" w:hAnsi="黑体" w:eastAsia="黑体" w:cs="黑体"/>
          <w:b/>
          <w:bCs/>
          <w:color w:val="000000"/>
          <w:kern w:val="0"/>
          <w:sz w:val="24"/>
        </w:rPr>
        <w:t>华夏银行官方网站公告的方式通知投资者。</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本</w:t>
      </w:r>
      <w:r>
        <w:rPr>
          <w:rFonts w:hint="eastAsia" w:ascii="仿宋" w:hAnsi="仿宋" w:eastAsia="仿宋" w:cs="宋体"/>
          <w:color w:val="000000"/>
          <w:kern w:val="0"/>
          <w:sz w:val="24"/>
        </w:rPr>
        <w:t>理财</w:t>
      </w:r>
      <w:r>
        <w:rPr>
          <w:rFonts w:ascii="仿宋" w:hAnsi="仿宋" w:eastAsia="仿宋" w:cs="宋体"/>
          <w:color w:val="000000"/>
          <w:kern w:val="0"/>
          <w:sz w:val="24"/>
        </w:rPr>
        <w:t>产品说明书</w:t>
      </w:r>
      <w:r>
        <w:rPr>
          <w:rFonts w:hint="eastAsia" w:ascii="仿宋" w:hAnsi="仿宋" w:eastAsia="仿宋" w:cs="宋体"/>
          <w:color w:val="000000"/>
          <w:kern w:val="0"/>
          <w:sz w:val="24"/>
        </w:rPr>
        <w:t>与理财产品销售/代理销售协议书、理财产品投资协议书、理财产品风险揭示书和投资者权益须知共同组成投资者与华夏理财之间理财产品合同的不可分割之组成部分</w:t>
      </w:r>
      <w:r>
        <w:rPr>
          <w:rFonts w:ascii="仿宋" w:hAnsi="仿宋" w:eastAsia="仿宋" w:cs="宋体"/>
          <w:color w:val="000000"/>
          <w:kern w:val="0"/>
          <w:sz w:val="24"/>
        </w:rPr>
        <w:t>。若投资者对本产品说明书的内容有任何疑问，请向华夏</w:t>
      </w:r>
      <w:r>
        <w:rPr>
          <w:rFonts w:hint="eastAsia" w:ascii="仿宋" w:hAnsi="仿宋" w:eastAsia="仿宋" w:cs="宋体"/>
          <w:color w:val="000000"/>
          <w:kern w:val="0"/>
          <w:sz w:val="24"/>
        </w:rPr>
        <w:t>理财/代销机构</w:t>
      </w:r>
      <w:r>
        <w:rPr>
          <w:rFonts w:ascii="仿宋" w:hAnsi="仿宋" w:eastAsia="仿宋" w:cs="宋体"/>
          <w:color w:val="000000"/>
          <w:kern w:val="0"/>
          <w:sz w:val="24"/>
        </w:rPr>
        <w:t>咨询。</w:t>
      </w:r>
    </w:p>
    <w:p>
      <w:pPr>
        <w:widowControl/>
        <w:adjustRightInd w:val="0"/>
        <w:snapToGrid w:val="0"/>
        <w:spacing w:line="276" w:lineRule="auto"/>
        <w:ind w:firstLine="482" w:firstLineChars="200"/>
        <w:contextualSpacing/>
        <w:rPr>
          <w:rFonts w:eastAsia="黑体"/>
          <w:b/>
        </w:rPr>
      </w:pPr>
      <w:r>
        <w:rPr>
          <w:rFonts w:eastAsia="黑体"/>
          <w:b/>
          <w:bCs/>
          <w:sz w:val="24"/>
        </w:rPr>
        <w:t>投资者在</w:t>
      </w:r>
      <w:r>
        <w:rPr>
          <w:rFonts w:hint="eastAsia" w:eastAsia="黑体"/>
          <w:b/>
          <w:bCs/>
          <w:sz w:val="24"/>
        </w:rPr>
        <w:t>购买</w:t>
      </w:r>
      <w:r>
        <w:rPr>
          <w:rFonts w:eastAsia="黑体"/>
          <w:b/>
          <w:bCs/>
          <w:sz w:val="24"/>
        </w:rPr>
        <w:t>理财产品前已阅读本理财产品风险</w:t>
      </w:r>
      <w:r>
        <w:rPr>
          <w:rFonts w:hint="eastAsia" w:eastAsia="黑体"/>
          <w:b/>
          <w:bCs/>
          <w:sz w:val="24"/>
        </w:rPr>
        <w:t>揭示内容</w:t>
      </w:r>
      <w:r>
        <w:rPr>
          <w:rFonts w:eastAsia="黑体"/>
          <w:b/>
          <w:bCs/>
          <w:sz w:val="24"/>
        </w:rPr>
        <w:t>，充分了解并知晓本理财产品的风险，自愿承担</w:t>
      </w:r>
      <w:r>
        <w:rPr>
          <w:rFonts w:hint="eastAsia" w:eastAsia="黑体"/>
          <w:b/>
          <w:bCs/>
          <w:sz w:val="24"/>
        </w:rPr>
        <w:t>相应</w:t>
      </w:r>
      <w:r>
        <w:rPr>
          <w:rFonts w:eastAsia="黑体"/>
          <w:b/>
          <w:bCs/>
          <w:sz w:val="24"/>
        </w:rPr>
        <w:t>风险，并授权华夏</w:t>
      </w:r>
      <w:r>
        <w:rPr>
          <w:rFonts w:hint="eastAsia" w:eastAsia="黑体"/>
          <w:b/>
          <w:bCs/>
          <w:sz w:val="24"/>
        </w:rPr>
        <w:t>理财</w:t>
      </w:r>
      <w:r>
        <w:rPr>
          <w:rFonts w:eastAsia="黑体"/>
          <w:b/>
          <w:bCs/>
          <w:sz w:val="24"/>
        </w:rPr>
        <w:t>根据本</w:t>
      </w:r>
      <w:r>
        <w:rPr>
          <w:rFonts w:hint="eastAsia" w:eastAsia="黑体"/>
          <w:b/>
          <w:bCs/>
          <w:sz w:val="24"/>
        </w:rPr>
        <w:t>产品说明书约定</w:t>
      </w:r>
      <w:r>
        <w:rPr>
          <w:rFonts w:eastAsia="黑体"/>
          <w:b/>
          <w:bCs/>
          <w:sz w:val="24"/>
        </w:rPr>
        <w:t>投资。</w:t>
      </w:r>
    </w:p>
    <w:p>
      <w:pPr>
        <w:pStyle w:val="22"/>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十一、说明书签署及生效</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如客户通过</w:t>
      </w:r>
      <w:bookmarkStart w:id="3" w:name="_Hlk76384810"/>
      <w:r>
        <w:rPr>
          <w:rFonts w:hint="eastAsia" w:ascii="仿宋" w:hAnsi="仿宋" w:eastAsia="仿宋" w:cs="宋体"/>
          <w:kern w:val="0"/>
          <w:sz w:val="24"/>
        </w:rPr>
        <w:t>华夏理财/代销机构</w:t>
      </w:r>
      <w:bookmarkEnd w:id="3"/>
      <w:r>
        <w:rPr>
          <w:rFonts w:hint="eastAsia" w:ascii="仿宋" w:hAnsi="仿宋" w:eastAsia="仿宋" w:cs="宋体"/>
          <w:kern w:val="0"/>
          <w:sz w:val="24"/>
        </w:rPr>
        <w:t>网点的柜面渠道购买本理财产品，本产品说明书经自然人客户签字/法人或其他组织客户的法定代表人或授权代表签章并加盖公章、成功缴纳购买资金，并经华夏理财系统确认购买份额之日起生效。</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如客户通过华夏理财/代销机构电子渠道购买本理财产品，本产品说明书自客户通过电子渠道确认同意，完成购买资金划付，并经华夏理财系统确认购买份额之日起生效。</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contextualSpacing/>
        <w:jc w:val="left"/>
        <w:rPr>
          <w:rFonts w:hint="eastAsia" w:ascii="仿宋" w:hAnsi="仿宋" w:eastAsia="仿宋" w:cs="宋体"/>
          <w:color w:val="000000"/>
          <w:kern w:val="0"/>
          <w:sz w:val="24"/>
        </w:rPr>
      </w:pPr>
      <w:r>
        <w:rPr>
          <w:rFonts w:hint="eastAsia" w:ascii="仿宋" w:hAnsi="仿宋" w:eastAsia="仿宋" w:cs="宋体"/>
          <w:color w:val="000000"/>
          <w:kern w:val="0"/>
          <w:sz w:val="24"/>
        </w:rPr>
        <w:t xml:space="preserve">   </w:t>
      </w:r>
    </w:p>
    <w:p>
      <w:pPr>
        <w:autoSpaceDE w:val="0"/>
        <w:autoSpaceDN w:val="0"/>
        <w:adjustRightInd w:val="0"/>
        <w:snapToGrid w:val="0"/>
        <w:spacing w:line="276" w:lineRule="auto"/>
        <w:contextualSpacing/>
        <w:jc w:val="left"/>
        <w:rPr>
          <w:rFonts w:hint="eastAsia"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投资者自然人</w:t>
      </w:r>
      <w:r>
        <w:rPr>
          <w:rFonts w:ascii="仿宋" w:hAnsi="仿宋" w:eastAsia="仿宋" w:cs="宋体"/>
          <w:color w:val="000000"/>
          <w:kern w:val="0"/>
          <w:sz w:val="24"/>
        </w:rPr>
        <w:t>（</w:t>
      </w:r>
      <w:r>
        <w:rPr>
          <w:rFonts w:hint="eastAsia" w:ascii="仿宋" w:hAnsi="仿宋" w:eastAsia="仿宋" w:cs="宋体"/>
          <w:color w:val="000000"/>
          <w:kern w:val="0"/>
          <w:sz w:val="24"/>
        </w:rPr>
        <w:t>签字或线上确认同意</w:t>
      </w:r>
      <w:r>
        <w:rPr>
          <w:rFonts w:ascii="仿宋" w:hAnsi="仿宋" w:eastAsia="仿宋" w:cs="宋体"/>
          <w:color w:val="000000"/>
          <w:kern w:val="0"/>
          <w:sz w:val="24"/>
        </w:rPr>
        <w:t xml:space="preserve">）：   </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（或）法人或其他组织（盖章或线上确认同意）：        </w:t>
      </w: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法定代表人或授权代表（签章或线上确认同意）：</w:t>
      </w:r>
      <w:r>
        <w:rPr>
          <w:rFonts w:ascii="仿宋" w:hAnsi="仿宋" w:eastAsia="仿宋" w:cs="宋体"/>
          <w:color w:val="000000"/>
          <w:kern w:val="0"/>
          <w:sz w:val="24"/>
        </w:rPr>
        <w:t xml:space="preserve">   </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r>
        <w:rPr>
          <w:rFonts w:ascii="仿宋" w:hAnsi="仿宋" w:eastAsia="仿宋" w:cs="宋体"/>
          <w:color w:val="000000"/>
          <w:kern w:val="0"/>
          <w:sz w:val="24"/>
        </w:rPr>
        <w:t xml:space="preserve">               </w:t>
      </w: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管理人：华夏理财有限责任公司 </w:t>
      </w:r>
    </w:p>
    <w:p>
      <w:pPr>
        <w:autoSpaceDE w:val="0"/>
        <w:autoSpaceDN w:val="0"/>
        <w:adjustRightInd w:val="0"/>
        <w:snapToGrid w:val="0"/>
        <w:spacing w:line="276" w:lineRule="auto"/>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pPr>
      <w:r>
        <w:rPr>
          <w:rFonts w:hint="eastAsia" w:ascii="仿宋" w:hAnsi="仿宋" w:eastAsia="仿宋" w:cs="宋体"/>
          <w:color w:val="000000"/>
          <w:kern w:val="0"/>
          <w:sz w:val="24"/>
        </w:rPr>
        <w:t xml:space="preserve">日期：     年     月    日 </w:t>
      </w:r>
      <w:r>
        <w:rPr>
          <w:rFonts w:ascii="仿宋" w:hAnsi="仿宋" w:eastAsia="仿宋" w:cs="宋体"/>
          <w:color w:val="000000"/>
        </w:rPr>
        <w:t xml:space="preserve">           </w:t>
      </w:r>
      <w:r>
        <w:rPr>
          <w:rFonts w:hint="eastAsia" w:ascii="仿宋" w:hAnsi="仿宋" w:eastAsia="仿宋" w:cs="宋体"/>
          <w:color w:val="000000"/>
          <w:kern w:val="0"/>
          <w:sz w:val="24"/>
        </w:rPr>
        <w:t xml:space="preserve">              </w:t>
      </w:r>
    </w:p>
    <w:sectPr>
      <w:headerReference r:id="rId5" w:type="default"/>
      <w:pgSz w:w="11906" w:h="16838"/>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auto"/>
    <w:pitch w:val="default"/>
    <w:sig w:usb0="00000000" w:usb1="00000000" w:usb2="0000003F" w:usb3="00000000" w:csb0="003F01FF" w:csb1="00000000"/>
  </w:font>
  <w:font w:name="仿宋_GB2312">
    <w:altName w:val="仿宋"/>
    <w:panose1 w:val="02010609030101010101"/>
    <w:charset w:val="86"/>
    <w:family w:val="auto"/>
    <w:pitch w:val="default"/>
    <w:sig w:usb0="00000000" w:usb1="00000000" w:usb2="00000010" w:usb3="00000000" w:csb0="00040000" w:csb1="00000000"/>
  </w:font>
  <w:font w:name="微软简仿宋">
    <w:altName w:val="仿宋"/>
    <w:panose1 w:val="00000000000000000000"/>
    <w:charset w:val="86"/>
    <w:family w:val="auto"/>
    <w:pitch w:val="default"/>
    <w:sig w:usb0="00000000" w:usb1="00000000" w:usb2="00000010" w:usb3="00000000" w:csb0="00040000" w:csb1="00000000"/>
  </w:font>
  <w:font w:name="楷体_GB2312">
    <w:altName w:val="楷体"/>
    <w:panose1 w:val="02010609030101010101"/>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auto"/>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1"/>
      </w:pBdr>
      <w:spacing w:line="360" w:lineRule="auto"/>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4D32496"/>
    <w:multiLevelType w:val="singleLevel"/>
    <w:tmpl w:val="64D32496"/>
    <w:lvl w:ilvl="0" w:tentative="0">
      <w:start w:val="15"/>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trackRevisions w:val="1"/>
  <w:documentProtection w:edit="trackedChanges"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BreakWrappedTables/>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172A27"/>
    <w:rsid w:val="00002DCA"/>
    <w:rsid w:val="0000532D"/>
    <w:rsid w:val="00020F81"/>
    <w:rsid w:val="0004783E"/>
    <w:rsid w:val="00063561"/>
    <w:rsid w:val="000713E1"/>
    <w:rsid w:val="000805E4"/>
    <w:rsid w:val="000A3C07"/>
    <w:rsid w:val="000B32CF"/>
    <w:rsid w:val="000D002A"/>
    <w:rsid w:val="000D7DE2"/>
    <w:rsid w:val="000E195A"/>
    <w:rsid w:val="000E7817"/>
    <w:rsid w:val="000F0804"/>
    <w:rsid w:val="00111D14"/>
    <w:rsid w:val="001260F4"/>
    <w:rsid w:val="001318D7"/>
    <w:rsid w:val="00141481"/>
    <w:rsid w:val="001423F3"/>
    <w:rsid w:val="00146323"/>
    <w:rsid w:val="00170760"/>
    <w:rsid w:val="00172A27"/>
    <w:rsid w:val="001B29E5"/>
    <w:rsid w:val="001B6BFA"/>
    <w:rsid w:val="001E4307"/>
    <w:rsid w:val="00214B23"/>
    <w:rsid w:val="00226451"/>
    <w:rsid w:val="00227F2A"/>
    <w:rsid w:val="00246DFC"/>
    <w:rsid w:val="00294355"/>
    <w:rsid w:val="002A2967"/>
    <w:rsid w:val="002A2FEF"/>
    <w:rsid w:val="002E7F9D"/>
    <w:rsid w:val="00311EF5"/>
    <w:rsid w:val="00351C38"/>
    <w:rsid w:val="00365E5C"/>
    <w:rsid w:val="00372A7F"/>
    <w:rsid w:val="003923B3"/>
    <w:rsid w:val="003B2A65"/>
    <w:rsid w:val="003D55AF"/>
    <w:rsid w:val="003D65A8"/>
    <w:rsid w:val="003E4BEB"/>
    <w:rsid w:val="003E7186"/>
    <w:rsid w:val="003F4E18"/>
    <w:rsid w:val="003F6114"/>
    <w:rsid w:val="003F7ADE"/>
    <w:rsid w:val="004021F4"/>
    <w:rsid w:val="0044086D"/>
    <w:rsid w:val="00462536"/>
    <w:rsid w:val="00472E75"/>
    <w:rsid w:val="004734C8"/>
    <w:rsid w:val="00494748"/>
    <w:rsid w:val="004C4084"/>
    <w:rsid w:val="004E7D97"/>
    <w:rsid w:val="004F4E81"/>
    <w:rsid w:val="004F648F"/>
    <w:rsid w:val="005114E6"/>
    <w:rsid w:val="00512B7C"/>
    <w:rsid w:val="0054575F"/>
    <w:rsid w:val="005604F6"/>
    <w:rsid w:val="00560CC1"/>
    <w:rsid w:val="005727C8"/>
    <w:rsid w:val="00580D81"/>
    <w:rsid w:val="005C08EC"/>
    <w:rsid w:val="005F66E4"/>
    <w:rsid w:val="00601E1F"/>
    <w:rsid w:val="006075D0"/>
    <w:rsid w:val="00613BD1"/>
    <w:rsid w:val="006447D6"/>
    <w:rsid w:val="00646EEE"/>
    <w:rsid w:val="00650968"/>
    <w:rsid w:val="00656FE9"/>
    <w:rsid w:val="00670595"/>
    <w:rsid w:val="00675AFE"/>
    <w:rsid w:val="00677437"/>
    <w:rsid w:val="00681E3A"/>
    <w:rsid w:val="0068328B"/>
    <w:rsid w:val="006860DD"/>
    <w:rsid w:val="0069073D"/>
    <w:rsid w:val="006915E0"/>
    <w:rsid w:val="006D3A14"/>
    <w:rsid w:val="006E0E9D"/>
    <w:rsid w:val="006E742E"/>
    <w:rsid w:val="006F119A"/>
    <w:rsid w:val="006F13D3"/>
    <w:rsid w:val="00712CC7"/>
    <w:rsid w:val="007311CA"/>
    <w:rsid w:val="00734D46"/>
    <w:rsid w:val="0076606B"/>
    <w:rsid w:val="00777429"/>
    <w:rsid w:val="007815CF"/>
    <w:rsid w:val="00792744"/>
    <w:rsid w:val="007E6C0E"/>
    <w:rsid w:val="007F32C1"/>
    <w:rsid w:val="00807591"/>
    <w:rsid w:val="008277B6"/>
    <w:rsid w:val="008340D5"/>
    <w:rsid w:val="00836CF0"/>
    <w:rsid w:val="00843345"/>
    <w:rsid w:val="00846F1F"/>
    <w:rsid w:val="00852D93"/>
    <w:rsid w:val="00863612"/>
    <w:rsid w:val="00887E73"/>
    <w:rsid w:val="008D19F3"/>
    <w:rsid w:val="008D5335"/>
    <w:rsid w:val="008D5F85"/>
    <w:rsid w:val="008E0C40"/>
    <w:rsid w:val="008E3F96"/>
    <w:rsid w:val="008E628E"/>
    <w:rsid w:val="008F024E"/>
    <w:rsid w:val="008F6891"/>
    <w:rsid w:val="00902123"/>
    <w:rsid w:val="00916782"/>
    <w:rsid w:val="00930217"/>
    <w:rsid w:val="00966B79"/>
    <w:rsid w:val="00971A91"/>
    <w:rsid w:val="00972105"/>
    <w:rsid w:val="00991FA8"/>
    <w:rsid w:val="009A3572"/>
    <w:rsid w:val="009C0A85"/>
    <w:rsid w:val="009C4B76"/>
    <w:rsid w:val="009C5840"/>
    <w:rsid w:val="009E3137"/>
    <w:rsid w:val="009E6D89"/>
    <w:rsid w:val="009F0D25"/>
    <w:rsid w:val="009F1CB5"/>
    <w:rsid w:val="00A25440"/>
    <w:rsid w:val="00A33474"/>
    <w:rsid w:val="00A35A4D"/>
    <w:rsid w:val="00A44BF6"/>
    <w:rsid w:val="00A51A90"/>
    <w:rsid w:val="00A547BE"/>
    <w:rsid w:val="00A70D27"/>
    <w:rsid w:val="00A87692"/>
    <w:rsid w:val="00A93593"/>
    <w:rsid w:val="00A978E7"/>
    <w:rsid w:val="00AA7D8A"/>
    <w:rsid w:val="00AD7FE0"/>
    <w:rsid w:val="00AE1B0B"/>
    <w:rsid w:val="00AE26B5"/>
    <w:rsid w:val="00AE7F75"/>
    <w:rsid w:val="00AF3F07"/>
    <w:rsid w:val="00B47C68"/>
    <w:rsid w:val="00B5695A"/>
    <w:rsid w:val="00BA77A8"/>
    <w:rsid w:val="00BB3661"/>
    <w:rsid w:val="00BB4269"/>
    <w:rsid w:val="00BB72E5"/>
    <w:rsid w:val="00BC4B7F"/>
    <w:rsid w:val="00BE076D"/>
    <w:rsid w:val="00BE4A47"/>
    <w:rsid w:val="00C04B81"/>
    <w:rsid w:val="00C33E4C"/>
    <w:rsid w:val="00C55B92"/>
    <w:rsid w:val="00C97983"/>
    <w:rsid w:val="00CC7010"/>
    <w:rsid w:val="00D04171"/>
    <w:rsid w:val="00D04582"/>
    <w:rsid w:val="00D06C20"/>
    <w:rsid w:val="00D3392B"/>
    <w:rsid w:val="00D34745"/>
    <w:rsid w:val="00D35D75"/>
    <w:rsid w:val="00D55F86"/>
    <w:rsid w:val="00D65353"/>
    <w:rsid w:val="00D919BF"/>
    <w:rsid w:val="00DC3F67"/>
    <w:rsid w:val="00DD0C1D"/>
    <w:rsid w:val="00DE02F1"/>
    <w:rsid w:val="00DE2987"/>
    <w:rsid w:val="00DF66C5"/>
    <w:rsid w:val="00E14138"/>
    <w:rsid w:val="00E46D53"/>
    <w:rsid w:val="00E67222"/>
    <w:rsid w:val="00E8155A"/>
    <w:rsid w:val="00E816F5"/>
    <w:rsid w:val="00E879FF"/>
    <w:rsid w:val="00E95A0F"/>
    <w:rsid w:val="00EE7A2F"/>
    <w:rsid w:val="00EF2CA8"/>
    <w:rsid w:val="00F37C88"/>
    <w:rsid w:val="00F444A8"/>
    <w:rsid w:val="00F5357A"/>
    <w:rsid w:val="00F56D69"/>
    <w:rsid w:val="00F9415B"/>
    <w:rsid w:val="00FB4720"/>
    <w:rsid w:val="00FC1677"/>
    <w:rsid w:val="00FD2903"/>
    <w:rsid w:val="00FE1291"/>
    <w:rsid w:val="00FE482B"/>
    <w:rsid w:val="00FF56AD"/>
    <w:rsid w:val="018D5F51"/>
    <w:rsid w:val="01EB6FEC"/>
    <w:rsid w:val="020578AC"/>
    <w:rsid w:val="02377743"/>
    <w:rsid w:val="026A609C"/>
    <w:rsid w:val="03357777"/>
    <w:rsid w:val="03A46E8A"/>
    <w:rsid w:val="03DB06FE"/>
    <w:rsid w:val="046E56D3"/>
    <w:rsid w:val="049D2AC6"/>
    <w:rsid w:val="04B16B62"/>
    <w:rsid w:val="05215177"/>
    <w:rsid w:val="06106106"/>
    <w:rsid w:val="06490B74"/>
    <w:rsid w:val="06996718"/>
    <w:rsid w:val="06E52844"/>
    <w:rsid w:val="07026ACD"/>
    <w:rsid w:val="071C6013"/>
    <w:rsid w:val="08961A5A"/>
    <w:rsid w:val="08A96CC2"/>
    <w:rsid w:val="08C41F33"/>
    <w:rsid w:val="08D03FC7"/>
    <w:rsid w:val="0A0F44CD"/>
    <w:rsid w:val="0AA97A8C"/>
    <w:rsid w:val="0B047D48"/>
    <w:rsid w:val="0B5542A8"/>
    <w:rsid w:val="0B9C5D9B"/>
    <w:rsid w:val="0BA27F6B"/>
    <w:rsid w:val="0C510FA4"/>
    <w:rsid w:val="0C9E5955"/>
    <w:rsid w:val="0D4C0E51"/>
    <w:rsid w:val="0D511F69"/>
    <w:rsid w:val="0D5A24E8"/>
    <w:rsid w:val="0DC52C23"/>
    <w:rsid w:val="0DF70178"/>
    <w:rsid w:val="0E3C3C0F"/>
    <w:rsid w:val="0E966946"/>
    <w:rsid w:val="0EE542A1"/>
    <w:rsid w:val="0F0E3C1D"/>
    <w:rsid w:val="0F2862EC"/>
    <w:rsid w:val="0F806FD5"/>
    <w:rsid w:val="0FE53808"/>
    <w:rsid w:val="105D61FB"/>
    <w:rsid w:val="10AF5991"/>
    <w:rsid w:val="117C0D4E"/>
    <w:rsid w:val="11BB3DB9"/>
    <w:rsid w:val="11D21B30"/>
    <w:rsid w:val="123B658C"/>
    <w:rsid w:val="12822D5D"/>
    <w:rsid w:val="12AD4D73"/>
    <w:rsid w:val="12C34F17"/>
    <w:rsid w:val="12CD4972"/>
    <w:rsid w:val="12FA2A1E"/>
    <w:rsid w:val="12FB08EA"/>
    <w:rsid w:val="13B35082"/>
    <w:rsid w:val="142741A0"/>
    <w:rsid w:val="14FD2EFF"/>
    <w:rsid w:val="152A1DB0"/>
    <w:rsid w:val="155D4436"/>
    <w:rsid w:val="1637208E"/>
    <w:rsid w:val="16457F02"/>
    <w:rsid w:val="1675525F"/>
    <w:rsid w:val="169510B8"/>
    <w:rsid w:val="16B5042D"/>
    <w:rsid w:val="16DD4AF1"/>
    <w:rsid w:val="174C5C47"/>
    <w:rsid w:val="178D27B4"/>
    <w:rsid w:val="182014A2"/>
    <w:rsid w:val="18294E04"/>
    <w:rsid w:val="1892050E"/>
    <w:rsid w:val="18D80C51"/>
    <w:rsid w:val="18EE0BF6"/>
    <w:rsid w:val="18FF0F1B"/>
    <w:rsid w:val="191120AF"/>
    <w:rsid w:val="198557BA"/>
    <w:rsid w:val="19CE04CC"/>
    <w:rsid w:val="1A707A6D"/>
    <w:rsid w:val="1A7D6D25"/>
    <w:rsid w:val="1A816486"/>
    <w:rsid w:val="1A893942"/>
    <w:rsid w:val="1A907FA2"/>
    <w:rsid w:val="1AD533CC"/>
    <w:rsid w:val="1B5F5984"/>
    <w:rsid w:val="1BA64FD1"/>
    <w:rsid w:val="1BBC5A18"/>
    <w:rsid w:val="1BE97487"/>
    <w:rsid w:val="1C6357AF"/>
    <w:rsid w:val="1CAC5E2B"/>
    <w:rsid w:val="1CDF5587"/>
    <w:rsid w:val="1CF10D78"/>
    <w:rsid w:val="1D023468"/>
    <w:rsid w:val="1D0736D5"/>
    <w:rsid w:val="1D5D728B"/>
    <w:rsid w:val="1D795BF8"/>
    <w:rsid w:val="1DA262B5"/>
    <w:rsid w:val="1E356AFA"/>
    <w:rsid w:val="1E724912"/>
    <w:rsid w:val="1E8F70B8"/>
    <w:rsid w:val="1E936936"/>
    <w:rsid w:val="1F4F61EE"/>
    <w:rsid w:val="1F527064"/>
    <w:rsid w:val="204A0870"/>
    <w:rsid w:val="205C3FCF"/>
    <w:rsid w:val="20740963"/>
    <w:rsid w:val="208F40B8"/>
    <w:rsid w:val="20C822D8"/>
    <w:rsid w:val="21FA0627"/>
    <w:rsid w:val="220D5EC8"/>
    <w:rsid w:val="22220369"/>
    <w:rsid w:val="223431B1"/>
    <w:rsid w:val="22A15AE0"/>
    <w:rsid w:val="22C149FC"/>
    <w:rsid w:val="22F1518B"/>
    <w:rsid w:val="238C25BD"/>
    <w:rsid w:val="246A62AE"/>
    <w:rsid w:val="24A91031"/>
    <w:rsid w:val="2540580E"/>
    <w:rsid w:val="254A0B53"/>
    <w:rsid w:val="25665B19"/>
    <w:rsid w:val="25E72FA7"/>
    <w:rsid w:val="273147E4"/>
    <w:rsid w:val="27487015"/>
    <w:rsid w:val="27A50231"/>
    <w:rsid w:val="28347384"/>
    <w:rsid w:val="287A4275"/>
    <w:rsid w:val="29711978"/>
    <w:rsid w:val="298634AE"/>
    <w:rsid w:val="2A2E3427"/>
    <w:rsid w:val="2A567387"/>
    <w:rsid w:val="2AC21136"/>
    <w:rsid w:val="2AED21E9"/>
    <w:rsid w:val="2B3649F4"/>
    <w:rsid w:val="2B4675FA"/>
    <w:rsid w:val="2BB602C5"/>
    <w:rsid w:val="2BD85FC4"/>
    <w:rsid w:val="2BF50AB4"/>
    <w:rsid w:val="2C1C5AFD"/>
    <w:rsid w:val="2CD424E2"/>
    <w:rsid w:val="2CDB7E63"/>
    <w:rsid w:val="2D434FF8"/>
    <w:rsid w:val="2DA05DCE"/>
    <w:rsid w:val="2EC208DF"/>
    <w:rsid w:val="2F223C18"/>
    <w:rsid w:val="2F401A95"/>
    <w:rsid w:val="2F517C68"/>
    <w:rsid w:val="2F854CC7"/>
    <w:rsid w:val="2FDD2BC4"/>
    <w:rsid w:val="2FF679D7"/>
    <w:rsid w:val="3058472F"/>
    <w:rsid w:val="30653C55"/>
    <w:rsid w:val="307C6D47"/>
    <w:rsid w:val="30B93C1E"/>
    <w:rsid w:val="30F83A0E"/>
    <w:rsid w:val="320C78A0"/>
    <w:rsid w:val="322D4AD1"/>
    <w:rsid w:val="3235704A"/>
    <w:rsid w:val="32726967"/>
    <w:rsid w:val="329A0B6A"/>
    <w:rsid w:val="329D05C7"/>
    <w:rsid w:val="32C642E9"/>
    <w:rsid w:val="32D2088E"/>
    <w:rsid w:val="32E479BE"/>
    <w:rsid w:val="332573C9"/>
    <w:rsid w:val="33F3040F"/>
    <w:rsid w:val="34854AB1"/>
    <w:rsid w:val="34A63F82"/>
    <w:rsid w:val="34BF4198"/>
    <w:rsid w:val="350A7012"/>
    <w:rsid w:val="360161F0"/>
    <w:rsid w:val="36050641"/>
    <w:rsid w:val="361F6B5B"/>
    <w:rsid w:val="36365F0F"/>
    <w:rsid w:val="365C6B3D"/>
    <w:rsid w:val="372651A6"/>
    <w:rsid w:val="379A4E61"/>
    <w:rsid w:val="382265A3"/>
    <w:rsid w:val="385467B2"/>
    <w:rsid w:val="386B45BC"/>
    <w:rsid w:val="39223F50"/>
    <w:rsid w:val="394C6E9C"/>
    <w:rsid w:val="39915230"/>
    <w:rsid w:val="39A47D94"/>
    <w:rsid w:val="39B533F4"/>
    <w:rsid w:val="39CD5E4B"/>
    <w:rsid w:val="3A166DB1"/>
    <w:rsid w:val="3A6464DA"/>
    <w:rsid w:val="3B0D1F3F"/>
    <w:rsid w:val="3B35691C"/>
    <w:rsid w:val="3B376401"/>
    <w:rsid w:val="3B8B78CF"/>
    <w:rsid w:val="3C691FB2"/>
    <w:rsid w:val="3D1957A0"/>
    <w:rsid w:val="3D3B3330"/>
    <w:rsid w:val="3D794D6C"/>
    <w:rsid w:val="3F996600"/>
    <w:rsid w:val="401A73E5"/>
    <w:rsid w:val="40270632"/>
    <w:rsid w:val="40897331"/>
    <w:rsid w:val="41084885"/>
    <w:rsid w:val="413B574D"/>
    <w:rsid w:val="41637739"/>
    <w:rsid w:val="41A75327"/>
    <w:rsid w:val="42511776"/>
    <w:rsid w:val="425C3FD4"/>
    <w:rsid w:val="42726493"/>
    <w:rsid w:val="44C2436C"/>
    <w:rsid w:val="44D90650"/>
    <w:rsid w:val="45225B34"/>
    <w:rsid w:val="454247FC"/>
    <w:rsid w:val="456B1E84"/>
    <w:rsid w:val="45937A12"/>
    <w:rsid w:val="45AB7274"/>
    <w:rsid w:val="45C2437E"/>
    <w:rsid w:val="46247283"/>
    <w:rsid w:val="464740FB"/>
    <w:rsid w:val="466B4F36"/>
    <w:rsid w:val="46945BA3"/>
    <w:rsid w:val="469C1860"/>
    <w:rsid w:val="47B14EAE"/>
    <w:rsid w:val="48100387"/>
    <w:rsid w:val="489F1960"/>
    <w:rsid w:val="48AD6D6F"/>
    <w:rsid w:val="492F3120"/>
    <w:rsid w:val="495B4660"/>
    <w:rsid w:val="49866A44"/>
    <w:rsid w:val="4A646C71"/>
    <w:rsid w:val="4A73155F"/>
    <w:rsid w:val="4A974BFD"/>
    <w:rsid w:val="4B041272"/>
    <w:rsid w:val="4B9A6CD9"/>
    <w:rsid w:val="4BAE0B3C"/>
    <w:rsid w:val="4CC42E4B"/>
    <w:rsid w:val="4CD55DF0"/>
    <w:rsid w:val="4DA41B7F"/>
    <w:rsid w:val="4DED30E6"/>
    <w:rsid w:val="4E006899"/>
    <w:rsid w:val="4E4604CC"/>
    <w:rsid w:val="4E6B607B"/>
    <w:rsid w:val="4E7E67D5"/>
    <w:rsid w:val="4E834167"/>
    <w:rsid w:val="4EE704C2"/>
    <w:rsid w:val="500E145A"/>
    <w:rsid w:val="500E49CD"/>
    <w:rsid w:val="500F1CD5"/>
    <w:rsid w:val="50F30A3E"/>
    <w:rsid w:val="511D25A1"/>
    <w:rsid w:val="5143646D"/>
    <w:rsid w:val="51695710"/>
    <w:rsid w:val="51A36407"/>
    <w:rsid w:val="51D60B75"/>
    <w:rsid w:val="51D91B25"/>
    <w:rsid w:val="5202225E"/>
    <w:rsid w:val="521557F3"/>
    <w:rsid w:val="52C77658"/>
    <w:rsid w:val="52DB0D77"/>
    <w:rsid w:val="53BF0718"/>
    <w:rsid w:val="56444969"/>
    <w:rsid w:val="56516960"/>
    <w:rsid w:val="57176092"/>
    <w:rsid w:val="57262273"/>
    <w:rsid w:val="575C7B62"/>
    <w:rsid w:val="57DD0263"/>
    <w:rsid w:val="58083A83"/>
    <w:rsid w:val="581B10FA"/>
    <w:rsid w:val="582156EE"/>
    <w:rsid w:val="58427747"/>
    <w:rsid w:val="58B94C78"/>
    <w:rsid w:val="58BB4CDB"/>
    <w:rsid w:val="58F96B51"/>
    <w:rsid w:val="59AA3EAA"/>
    <w:rsid w:val="59AD702D"/>
    <w:rsid w:val="59D14CC4"/>
    <w:rsid w:val="59EF730D"/>
    <w:rsid w:val="59FF73A2"/>
    <w:rsid w:val="5A945937"/>
    <w:rsid w:val="5AA340C2"/>
    <w:rsid w:val="5AB6501F"/>
    <w:rsid w:val="5B9E1D5B"/>
    <w:rsid w:val="5BCB323C"/>
    <w:rsid w:val="5CC83D65"/>
    <w:rsid w:val="5D790E7F"/>
    <w:rsid w:val="5DC24B3C"/>
    <w:rsid w:val="5DC63A4E"/>
    <w:rsid w:val="5DED53D1"/>
    <w:rsid w:val="5E1B7959"/>
    <w:rsid w:val="5EAD142E"/>
    <w:rsid w:val="5EF76013"/>
    <w:rsid w:val="5EFE5A8B"/>
    <w:rsid w:val="5F3F3BFD"/>
    <w:rsid w:val="5F7071A8"/>
    <w:rsid w:val="5FC6181B"/>
    <w:rsid w:val="60066955"/>
    <w:rsid w:val="601211DC"/>
    <w:rsid w:val="60292197"/>
    <w:rsid w:val="6096016A"/>
    <w:rsid w:val="610C5CC5"/>
    <w:rsid w:val="612829F8"/>
    <w:rsid w:val="619A0DA9"/>
    <w:rsid w:val="61C43619"/>
    <w:rsid w:val="6210426E"/>
    <w:rsid w:val="62126C3A"/>
    <w:rsid w:val="62325267"/>
    <w:rsid w:val="63510BEE"/>
    <w:rsid w:val="637E758B"/>
    <w:rsid w:val="638119A8"/>
    <w:rsid w:val="642D51FD"/>
    <w:rsid w:val="64312382"/>
    <w:rsid w:val="644E4B1D"/>
    <w:rsid w:val="64651B49"/>
    <w:rsid w:val="648C2CC5"/>
    <w:rsid w:val="64A11C37"/>
    <w:rsid w:val="64A55F1E"/>
    <w:rsid w:val="650A047C"/>
    <w:rsid w:val="652C5EC9"/>
    <w:rsid w:val="65353764"/>
    <w:rsid w:val="657171FE"/>
    <w:rsid w:val="65A46AEA"/>
    <w:rsid w:val="65EC5F0A"/>
    <w:rsid w:val="66EC4D96"/>
    <w:rsid w:val="6736101B"/>
    <w:rsid w:val="68370CCC"/>
    <w:rsid w:val="684D7DEF"/>
    <w:rsid w:val="68585ADF"/>
    <w:rsid w:val="68A77809"/>
    <w:rsid w:val="68C94029"/>
    <w:rsid w:val="691226D5"/>
    <w:rsid w:val="695217DC"/>
    <w:rsid w:val="69923628"/>
    <w:rsid w:val="69C37032"/>
    <w:rsid w:val="6A2C55E6"/>
    <w:rsid w:val="6AFC54E5"/>
    <w:rsid w:val="6B2F26F6"/>
    <w:rsid w:val="6B895F90"/>
    <w:rsid w:val="6BCA0362"/>
    <w:rsid w:val="6BD916EE"/>
    <w:rsid w:val="6CCA1A7F"/>
    <w:rsid w:val="6DD3641A"/>
    <w:rsid w:val="6E035291"/>
    <w:rsid w:val="6E1206A4"/>
    <w:rsid w:val="6E5A3D7E"/>
    <w:rsid w:val="6FDB28A3"/>
    <w:rsid w:val="703933A1"/>
    <w:rsid w:val="70AA0758"/>
    <w:rsid w:val="70B61502"/>
    <w:rsid w:val="70CE17C7"/>
    <w:rsid w:val="70F5166C"/>
    <w:rsid w:val="71981EC0"/>
    <w:rsid w:val="71EF5ACB"/>
    <w:rsid w:val="72145BFB"/>
    <w:rsid w:val="722B706A"/>
    <w:rsid w:val="723369CC"/>
    <w:rsid w:val="723B233B"/>
    <w:rsid w:val="724F5D5C"/>
    <w:rsid w:val="72595DB6"/>
    <w:rsid w:val="728E0A16"/>
    <w:rsid w:val="729371FE"/>
    <w:rsid w:val="72C43ABF"/>
    <w:rsid w:val="72E929DE"/>
    <w:rsid w:val="72EF2B1D"/>
    <w:rsid w:val="738D015F"/>
    <w:rsid w:val="73990B03"/>
    <w:rsid w:val="745751F5"/>
    <w:rsid w:val="74892FD1"/>
    <w:rsid w:val="74FB18F9"/>
    <w:rsid w:val="75616560"/>
    <w:rsid w:val="75E158E8"/>
    <w:rsid w:val="75F80517"/>
    <w:rsid w:val="76C57715"/>
    <w:rsid w:val="771479EA"/>
    <w:rsid w:val="771C35A1"/>
    <w:rsid w:val="77A03719"/>
    <w:rsid w:val="78223427"/>
    <w:rsid w:val="789923C9"/>
    <w:rsid w:val="78A4259B"/>
    <w:rsid w:val="78C31CAF"/>
    <w:rsid w:val="78CE6E70"/>
    <w:rsid w:val="78FC6178"/>
    <w:rsid w:val="795B3486"/>
    <w:rsid w:val="79B75ECC"/>
    <w:rsid w:val="79E45FD6"/>
    <w:rsid w:val="7A52270E"/>
    <w:rsid w:val="7AD0105B"/>
    <w:rsid w:val="7AF92581"/>
    <w:rsid w:val="7B044A15"/>
    <w:rsid w:val="7B170E00"/>
    <w:rsid w:val="7B3057E8"/>
    <w:rsid w:val="7B471A04"/>
    <w:rsid w:val="7B655D19"/>
    <w:rsid w:val="7C721F5F"/>
    <w:rsid w:val="7C7D36C4"/>
    <w:rsid w:val="7D197A3B"/>
    <w:rsid w:val="7D1F7EDB"/>
    <w:rsid w:val="7D3707EB"/>
    <w:rsid w:val="7DAC4B36"/>
    <w:rsid w:val="7E431677"/>
    <w:rsid w:val="7E5572E2"/>
    <w:rsid w:val="7E9A3A0C"/>
    <w:rsid w:val="7ED67996"/>
    <w:rsid w:val="7F116F65"/>
    <w:rsid w:val="7F516160"/>
    <w:rsid w:val="7FB0211B"/>
    <w:rsid w:val="7FD45F9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qFormat="1"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qFormat="1"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paragraph" w:styleId="3">
    <w:name w:val="heading 2"/>
    <w:basedOn w:val="1"/>
    <w:next w:val="1"/>
    <w:qFormat/>
    <w:uiPriority w:val="0"/>
    <w:pPr>
      <w:keepNext/>
      <w:keepLines/>
      <w:spacing w:before="260" w:after="260" w:line="415" w:lineRule="auto"/>
      <w:outlineLvl w:val="1"/>
    </w:pPr>
    <w:rPr>
      <w:rFonts w:ascii="Arial" w:hAnsi="Arial" w:eastAsia="黑体"/>
      <w:b/>
      <w:sz w:val="24"/>
    </w:rPr>
  </w:style>
  <w:style w:type="paragraph" w:styleId="4">
    <w:name w:val="heading 3"/>
    <w:basedOn w:val="1"/>
    <w:next w:val="1"/>
    <w:qFormat/>
    <w:uiPriority w:val="0"/>
    <w:pPr>
      <w:keepNext/>
      <w:keepLines/>
      <w:spacing w:before="260" w:after="260" w:line="413" w:lineRule="auto"/>
      <w:outlineLvl w:val="2"/>
    </w:pPr>
    <w:rPr>
      <w:rFonts w:ascii="Calibri" w:hAnsi="Calibri"/>
      <w:b/>
      <w:sz w:val="24"/>
    </w:rPr>
  </w:style>
  <w:style w:type="character" w:default="1" w:styleId="13">
    <w:name w:val="Default Paragraph Font"/>
    <w:unhideWhenUsed/>
    <w:qFormat/>
    <w:uiPriority w:val="1"/>
  </w:style>
  <w:style w:type="table" w:default="1" w:styleId="11">
    <w:name w:val="Normal Table"/>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Indent"/>
    <w:basedOn w:val="1"/>
    <w:unhideWhenUsed/>
    <w:uiPriority w:val="0"/>
    <w:pPr>
      <w:ind w:firstLine="630"/>
    </w:pPr>
    <w:rPr>
      <w:kern w:val="0"/>
      <w:sz w:val="24"/>
    </w:rPr>
  </w:style>
  <w:style w:type="paragraph" w:styleId="7">
    <w:name w:val="Body Text Indent 2"/>
    <w:basedOn w:val="1"/>
    <w:unhideWhenUsed/>
    <w:qFormat/>
    <w:uiPriority w:val="0"/>
    <w:pPr>
      <w:ind w:firstLine="600"/>
    </w:pPr>
    <w:rPr>
      <w:kern w:val="0"/>
      <w:sz w:val="24"/>
    </w:rPr>
  </w:style>
  <w:style w:type="paragraph" w:styleId="8">
    <w:name w:val="Balloon Text"/>
    <w:basedOn w:val="1"/>
    <w:semiHidden/>
    <w:qFormat/>
    <w:uiPriority w:val="0"/>
    <w:rPr>
      <w:sz w:val="18"/>
      <w:szCs w:val="18"/>
    </w:rPr>
  </w:style>
  <w:style w:type="paragraph" w:styleId="9">
    <w:name w:val="footer"/>
    <w:basedOn w:val="1"/>
    <w:unhideWhenUsed/>
    <w:qFormat/>
    <w:uiPriority w:val="0"/>
    <w:pPr>
      <w:tabs>
        <w:tab w:val="center" w:pos="4153"/>
        <w:tab w:val="right" w:pos="8306"/>
      </w:tabs>
      <w:snapToGrid w:val="0"/>
      <w:jc w:val="left"/>
    </w:pPr>
    <w:rPr>
      <w:sz w:val="18"/>
      <w:szCs w:val="20"/>
    </w:rPr>
  </w:style>
  <w:style w:type="paragraph" w:styleId="10">
    <w:name w:val="header"/>
    <w:basedOn w:val="1"/>
    <w:unhideWhenUsed/>
    <w:uiPriority w:val="0"/>
    <w:pPr>
      <w:pBdr>
        <w:bottom w:val="single" w:color="auto" w:sz="6" w:space="1"/>
      </w:pBdr>
      <w:tabs>
        <w:tab w:val="center" w:pos="4153"/>
        <w:tab w:val="right" w:pos="8306"/>
      </w:tabs>
      <w:snapToGrid w:val="0"/>
      <w:jc w:val="center"/>
    </w:pPr>
    <w:rPr>
      <w:sz w:val="18"/>
      <w:szCs w:val="20"/>
    </w:rPr>
  </w:style>
  <w:style w:type="table" w:styleId="12">
    <w:name w:val="Table Grid"/>
    <w:basedOn w:val="11"/>
    <w:unhideWhenUsed/>
    <w:qFormat/>
    <w:uiPriority w:val="0"/>
    <w:pPr>
      <w:widowControl w:val="0"/>
      <w:jc w:val="both"/>
    </w:pPr>
    <w:rPr>
      <w:rFonts w:eastAsia="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Strong"/>
    <w:qFormat/>
    <w:uiPriority w:val="0"/>
  </w:style>
  <w:style w:type="character" w:styleId="15">
    <w:name w:val="Emphasis"/>
    <w:qFormat/>
    <w:uiPriority w:val="0"/>
  </w:style>
  <w:style w:type="character" w:styleId="16">
    <w:name w:val="HTML Definition"/>
    <w:qFormat/>
    <w:uiPriority w:val="0"/>
  </w:style>
  <w:style w:type="character" w:styleId="17">
    <w:name w:val="HTML Acronym"/>
    <w:basedOn w:val="13"/>
    <w:qFormat/>
    <w:uiPriority w:val="0"/>
  </w:style>
  <w:style w:type="character" w:styleId="18">
    <w:name w:val="HTML Variable"/>
    <w:qFormat/>
    <w:uiPriority w:val="0"/>
  </w:style>
  <w:style w:type="character" w:styleId="19">
    <w:name w:val="HTML Code"/>
    <w:qFormat/>
    <w:uiPriority w:val="0"/>
    <w:rPr>
      <w:rFonts w:ascii="Courier New" w:hAnsi="Courier New"/>
      <w:sz w:val="20"/>
      <w:shd w:val="clear" w:color="auto" w:fill="FFFFFF"/>
    </w:rPr>
  </w:style>
  <w:style w:type="character" w:styleId="20">
    <w:name w:val="HTML Cite"/>
    <w:qFormat/>
    <w:uiPriority w:val="0"/>
  </w:style>
  <w:style w:type="paragraph" w:customStyle="1" w:styleId="21">
    <w:name w:val="正文 A"/>
    <w:qFormat/>
    <w:uiPriority w:val="0"/>
    <w:pPr>
      <w:widowControl w:val="0"/>
      <w:spacing w:line="560" w:lineRule="atLeast"/>
      <w:ind w:firstLine="640"/>
      <w:jc w:val="both"/>
    </w:pPr>
    <w:rPr>
      <w:rFonts w:ascii="Arial Unicode MS" w:hAnsi="Arial Unicode MS" w:eastAsia="宋体" w:cs="Arial Unicode MS"/>
      <w:color w:val="000000"/>
      <w:kern w:val="2"/>
      <w:sz w:val="32"/>
      <w:szCs w:val="32"/>
      <w:u w:val="none" w:color="000000"/>
      <w:lang w:val="en-US" w:eastAsia="zh-CN" w:bidi="ar-SA"/>
    </w:rPr>
  </w:style>
  <w:style w:type="paragraph" w:customStyle="1" w:styleId="22">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23">
    <w:name w:val="YJH-nei"/>
    <w:qFormat/>
    <w:uiPriority w:val="0"/>
    <w:pPr>
      <w:spacing w:line="600" w:lineRule="exact"/>
      <w:ind w:firstLine="200" w:firstLineChars="200"/>
    </w:pPr>
    <w:rPr>
      <w:rFonts w:ascii="仿宋_GB2312" w:hAnsi="宋体" w:eastAsia="仿宋_GB2312" w:cs="Times New Roman"/>
      <w:sz w:val="30"/>
      <w:szCs w:val="30"/>
      <w:lang w:val="en-US" w:eastAsia="zh-CN" w:bidi="ar-SA"/>
    </w:rPr>
  </w:style>
  <w:style w:type="paragraph" w:customStyle="1" w:styleId="24">
    <w:name w:val="p0"/>
    <w:basedOn w:val="1"/>
    <w:qFormat/>
    <w:uiPriority w:val="0"/>
    <w:pPr>
      <w:widowControl/>
    </w:pPr>
    <w:rPr>
      <w:kern w:val="0"/>
      <w:szCs w:val="21"/>
    </w:rPr>
  </w:style>
  <w:style w:type="character" w:customStyle="1" w:styleId="25">
    <w:name w:val="leftmenu-morenav"/>
    <w:basedOn w:val="13"/>
    <w:qFormat/>
    <w:uiPriority w:val="0"/>
  </w:style>
  <w:style w:type="character" w:customStyle="1" w:styleId="26">
    <w:name w:val="disabled"/>
    <w:qFormat/>
    <w:uiPriority w:val="0"/>
    <w:rPr>
      <w:color w:val="CCCCCC"/>
      <w:bdr w:val="single" w:color="CCCCCC" w:sz="6" w:space="0"/>
    </w:rPr>
  </w:style>
  <w:style w:type="character" w:customStyle="1" w:styleId="27">
    <w:name w:val="font11"/>
    <w:qFormat/>
    <w:uiPriority w:val="0"/>
    <w:rPr>
      <w:rFonts w:hint="default" w:ascii="微软简仿宋" w:hAnsi="微软简仿宋" w:eastAsia="微软简仿宋" w:cs="微软简仿宋"/>
      <w:color w:val="000000"/>
      <w:sz w:val="24"/>
      <w:szCs w:val="24"/>
      <w:u w:val="none"/>
    </w:rPr>
  </w:style>
  <w:style w:type="character" w:customStyle="1" w:styleId="28">
    <w:name w:val="current"/>
    <w:qFormat/>
    <w:uiPriority w:val="0"/>
    <w:rPr>
      <w:color w:val="FFFFFF"/>
      <w:bdr w:val="single" w:color="8DB5D7" w:sz="6" w:space="0"/>
      <w:shd w:val="clear" w:color="auto" w:fill="0080FF"/>
    </w:rPr>
  </w:style>
  <w:style w:type="character" w:customStyle="1" w:styleId="29">
    <w:name w:val="font51"/>
    <w:qFormat/>
    <w:uiPriority w:val="0"/>
    <w:rPr>
      <w:rFonts w:hint="default" w:ascii="Times New Roman" w:hAnsi="Times New Roman" w:cs="Times New Roman"/>
      <w:color w:val="000000"/>
      <w:sz w:val="24"/>
      <w:szCs w:val="24"/>
      <w:u w:val="none"/>
    </w:rPr>
  </w:style>
  <w:style w:type="character" w:customStyle="1" w:styleId="30">
    <w:name w:val="font81"/>
    <w:qFormat/>
    <w:uiPriority w:val="0"/>
    <w:rPr>
      <w:rFonts w:hint="default" w:ascii="微软简仿宋" w:hAnsi="微软简仿宋" w:eastAsia="微软简仿宋" w:cs="微软简仿宋"/>
      <w:color w:val="000000"/>
      <w:sz w:val="24"/>
      <w:szCs w:val="24"/>
      <w:u w:val="none"/>
    </w:rPr>
  </w:style>
  <w:style w:type="character" w:customStyle="1" w:styleId="31">
    <w:name w:val="font01"/>
    <w:qFormat/>
    <w:uiPriority w:val="0"/>
    <w:rPr>
      <w:rFonts w:hint="default" w:ascii="Times New Roman" w:hAnsi="Times New Roman" w:cs="Times New Roman"/>
      <w:color w:val="000000"/>
      <w:sz w:val="24"/>
      <w:szCs w:val="24"/>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华夏银行总行</Company>
  <Pages>18</Pages>
  <Words>2897</Words>
  <Characters>16516</Characters>
  <Lines>137</Lines>
  <Paragraphs>38</Paragraphs>
  <TotalTime>2</TotalTime>
  <ScaleCrop>false</ScaleCrop>
  <LinksUpToDate>false</LinksUpToDate>
  <CharactersWithSpaces>0</CharactersWithSpaces>
  <Application>WPS Office_11.8.2.12089_F1E327BC-269C-435d-A152-05C5408002CA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2023-03-28T08:26:00Z</dcterms:created>
  <dc:creator>ylh</dc:creator>
  <cp:keywords>新版;22-12-28;23-4</cp:keywords>
  <cp:lastModifiedBy>马宁</cp:lastModifiedBy>
  <dcterms:modified xsi:type="dcterms:W3CDTF">2024-06-19T05:19:32Z</dcterms:modified>
  <dc:title>华夏理财固定收益纯债最短持有</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2052-11.8.2.12089</vt:lpwstr>
  </property>
  <property fmtid="{D5CDD505-2E9C-101B-9397-08002B2CF9AE}" pid="3" name="ICV">
    <vt:lpwstr>769DEC2D12E94BA69ED1C0DF2A3C022A</vt:lpwstr>
  </property>
</Properties>
</file>