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&#65279;<?xml version="1.0" encoding="UTF-8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CVWFY6GK79UQ06BGRQR8DL0K7ZEMOYPREX06NJD6XFGRTQWTZ0BRQCJ6FSUTPD6RXXMXHOZFZIW78INJQFFAPFF78RFMWHCBAFOOKHB350B44EB413AB49D1B72A7B5B777A88C2" Type="http://schemas.microsoft.com/office/2006/relationships/officeDocumentMain" Target="docProps/core.xml"/><Relationship Id="SAWFK6GD79VQ0TBGRPRNKL0D7ZEMOAGREE0XLJDWXFM8TQCTNRBR0CJ7FYRTPBRRAXM6SOLSZI778PNJROFADF8H8RN0WLLB8UOORHB3BE9815D8F86867ED0DAEE16941AA7189" Type="http://schemas.microsoft.com/office/2006/relationships/officeDocumentExtended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徽银理财净值型理财产品每周净值公告（2024年04月19日）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2024年04月19日,产品存续份额:56,862,535份，产品当日资产净值:58,382,614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1.024989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1.024989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1.025066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1.025066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1.026733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1.026733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2024年04月19日,产品存续份额:2,390,000份，产品当日资产净值:2,459,278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1.027165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1.027165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1.027281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1.027281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1.028987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1.028987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2024年04月19日,产品存续份额:31,172,403份，产品当日资产净值:31,809,324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1.019361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1.019361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1.020432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1.020432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2024年04月19日,产品存续份额:3,550,000份，产品当日资产净值:3,632,343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1.020914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1.020914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1.023195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1.023195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5、徽银理财“安盈”固定收益类理财产品240086_B：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240086_B,产品代码PNHY240086_B,产品登记编码Z7002424000074,于2024年04月02日成立并投资运作，截至2024年04月19日,产品存续份额:2,780,000份，产品当日资产净值:2,784,658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2024年04月19日,产品存续份额:34,963,033份，产品当日资产净值:36,626,518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1.045883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1.045883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1.046742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1.046742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1.047578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1.047578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2024年04月19日,产品存续份额:70,552,652份，产品当日资产净值:74,170,550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1.049530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1.049530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1.050414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1.050414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1.051279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1.051279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2024年04月19日,产品存续份额:38,340,762份，产品当日资产净值:40,092,639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1.044005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1.044005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1.044860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1.044860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1.045692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1.045692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9、徽银理财“安盈”固定收益类理财产品240162：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240162,产品代码PNHY240162,产品登记编码Z7002424000144,于2024年04月17日成立并投资运作，截至2024年04月19日,产品存续份额:10,530,000份，产品当日资产净值:10,531,059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2024年04月23日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