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E02" w:rsidRDefault="00263E02">
      <w:pPr>
        <w:spacing w:before="240" w:after="72" w:line="360" w:lineRule="auto"/>
        <w:rPr>
          <w:rFonts w:asciiTheme="minorEastAsia" w:eastAsiaTheme="minorEastAsia" w:hAnsiTheme="minorEastAsia"/>
        </w:rPr>
      </w:pPr>
    </w:p>
    <w:p w:rsidR="00263E02" w:rsidRDefault="00263E02">
      <w:pPr>
        <w:spacing w:before="240" w:after="72" w:line="360" w:lineRule="auto"/>
        <w:rPr>
          <w:rFonts w:asciiTheme="minorEastAsia" w:eastAsiaTheme="minorEastAsia" w:hAnsiTheme="minorEastAsia"/>
        </w:rPr>
      </w:pPr>
    </w:p>
    <w:p w:rsidR="00263E02" w:rsidRDefault="00263E02">
      <w:pPr>
        <w:spacing w:before="240" w:after="72" w:line="360" w:lineRule="auto"/>
        <w:rPr>
          <w:rFonts w:asciiTheme="minorEastAsia" w:eastAsiaTheme="minorEastAsia" w:hAnsiTheme="minorEastAsia"/>
        </w:rPr>
      </w:pPr>
    </w:p>
    <w:p w:rsidR="00263E02" w:rsidRDefault="00E07BE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南银理财珠联璧合鑫逸稳两年</w:t>
      </w:r>
      <w:r>
        <w:rPr>
          <w:rFonts w:ascii="方正黑体简体" w:eastAsia="方正黑体简体" w:hAnsi="Calibri" w:hint="eastAsia"/>
          <w:sz w:val="36"/>
        </w:rPr>
        <w:t>51</w:t>
      </w:r>
      <w:r>
        <w:rPr>
          <w:rFonts w:ascii="方正黑体简体" w:eastAsia="方正黑体简体" w:hAnsi="Calibri" w:hint="eastAsia"/>
          <w:sz w:val="36"/>
        </w:rPr>
        <w:t>期封闭式公募人民币理财产品</w:t>
      </w:r>
    </w:p>
    <w:p w:rsidR="00263E02" w:rsidRDefault="00E07BE3">
      <w:pPr>
        <w:snapToGrid w:val="0"/>
        <w:spacing w:before="240" w:after="72" w:line="360" w:lineRule="auto"/>
        <w:jc w:val="center"/>
        <w:rPr>
          <w:rFonts w:ascii="方正黑体简体" w:eastAsia="方正黑体简体" w:hAnsi="Calibri"/>
          <w:sz w:val="36"/>
        </w:rPr>
      </w:pPr>
      <w:r>
        <w:rPr>
          <w:rFonts w:ascii="方正黑体简体" w:eastAsia="方正黑体简体" w:hAnsi="Calibri" w:hint="eastAsia"/>
          <w:sz w:val="36"/>
        </w:rPr>
        <w:t>2024</w:t>
      </w:r>
      <w:r>
        <w:rPr>
          <w:rFonts w:ascii="方正黑体简体" w:eastAsia="方正黑体简体" w:hAnsi="Calibri" w:hint="eastAsia"/>
          <w:sz w:val="36"/>
        </w:rPr>
        <w:t>年第</w:t>
      </w:r>
      <w:r>
        <w:rPr>
          <w:rFonts w:ascii="方正黑体简体" w:eastAsia="方正黑体简体" w:hAnsi="Calibri" w:hint="eastAsia"/>
          <w:sz w:val="36"/>
        </w:rPr>
        <w:t>1</w:t>
      </w:r>
      <w:r>
        <w:rPr>
          <w:rFonts w:ascii="方正黑体简体" w:eastAsia="方正黑体简体" w:hAnsi="Calibri" w:hint="eastAsia"/>
          <w:sz w:val="36"/>
        </w:rPr>
        <w:t>季度报告</w:t>
      </w:r>
    </w:p>
    <w:p w:rsidR="00263E02" w:rsidRDefault="00263E02">
      <w:pPr>
        <w:spacing w:before="240" w:after="72" w:line="360" w:lineRule="auto"/>
        <w:jc w:val="center"/>
        <w:rPr>
          <w:rFonts w:ascii="方正黑体简体" w:eastAsia="方正黑体简体"/>
          <w:sz w:val="36"/>
          <w:szCs w:val="36"/>
        </w:rPr>
      </w:pPr>
    </w:p>
    <w:p w:rsidR="00263E02" w:rsidRDefault="00263E02">
      <w:pPr>
        <w:spacing w:before="240" w:after="72" w:line="360" w:lineRule="auto"/>
        <w:jc w:val="center"/>
        <w:rPr>
          <w:rFonts w:ascii="方正黑体简体" w:eastAsia="方正黑体简体"/>
          <w:sz w:val="36"/>
          <w:szCs w:val="36"/>
        </w:rPr>
      </w:pPr>
    </w:p>
    <w:p w:rsidR="00263E02" w:rsidRDefault="00263E02">
      <w:pPr>
        <w:spacing w:before="240" w:after="72" w:line="360" w:lineRule="auto"/>
        <w:jc w:val="center"/>
        <w:rPr>
          <w:rFonts w:ascii="方正黑体简体" w:eastAsia="方正黑体简体"/>
          <w:sz w:val="36"/>
          <w:szCs w:val="36"/>
        </w:rPr>
      </w:pPr>
    </w:p>
    <w:p w:rsidR="00263E02" w:rsidRDefault="00263E02">
      <w:pPr>
        <w:spacing w:before="240" w:after="72" w:line="360" w:lineRule="auto"/>
        <w:jc w:val="center"/>
        <w:rPr>
          <w:rFonts w:ascii="方正黑体简体" w:eastAsia="方正黑体简体"/>
          <w:sz w:val="36"/>
          <w:szCs w:val="36"/>
        </w:rPr>
      </w:pPr>
    </w:p>
    <w:p w:rsidR="00263E02" w:rsidRDefault="00E07BE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hint="eastAsia"/>
          <w:b/>
          <w:sz w:val="24"/>
          <w:szCs w:val="24"/>
        </w:rPr>
        <w:t>:</w:t>
      </w:r>
      <w:r>
        <w:rPr>
          <w:rFonts w:ascii="方正仿宋简体" w:eastAsia="方正仿宋简体" w:hint="eastAsia"/>
          <w:b/>
          <w:sz w:val="24"/>
          <w:szCs w:val="24"/>
        </w:rPr>
        <w:t>南银理财有限责任公司</w:t>
      </w:r>
    </w:p>
    <w:p w:rsidR="00263E02" w:rsidRDefault="00E07BE3">
      <w:pPr>
        <w:snapToGrid w:val="0"/>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hint="eastAsia"/>
          <w:b/>
          <w:sz w:val="24"/>
          <w:szCs w:val="24"/>
        </w:rPr>
        <w:t>:</w:t>
      </w:r>
      <w:r>
        <w:rPr>
          <w:rFonts w:ascii="方正仿宋简体" w:eastAsia="方正仿宋简体" w:hint="eastAsia"/>
          <w:b/>
          <w:sz w:val="24"/>
          <w:szCs w:val="24"/>
        </w:rPr>
        <w:t>南京银行股份有限公司</w:t>
      </w:r>
    </w:p>
    <w:p w:rsidR="00263E02" w:rsidRDefault="00263E02">
      <w:pPr>
        <w:spacing w:before="240" w:after="72" w:line="360" w:lineRule="auto"/>
        <w:rPr>
          <w:rFonts w:ascii="方正黑体简体" w:eastAsia="方正黑体简体"/>
          <w:sz w:val="36"/>
          <w:szCs w:val="36"/>
        </w:rPr>
      </w:pPr>
    </w:p>
    <w:p w:rsidR="00263E02" w:rsidRDefault="00263E02">
      <w:pPr>
        <w:spacing w:before="240" w:after="72" w:line="360" w:lineRule="auto"/>
        <w:rPr>
          <w:rFonts w:ascii="方正黑体简体" w:eastAsia="方正黑体简体"/>
          <w:sz w:val="36"/>
          <w:szCs w:val="36"/>
        </w:rPr>
      </w:pPr>
    </w:p>
    <w:p w:rsidR="00263E02" w:rsidRDefault="00E07BE3">
      <w:pPr>
        <w:widowControl/>
        <w:spacing w:before="240" w:afterLines="0" w:line="360" w:lineRule="auto"/>
        <w:jc w:val="left"/>
        <w:rPr>
          <w:rFonts w:ascii="方正仿宋_GBK" w:eastAsia="方正仿宋_GBK" w:hAnsi="Calibri"/>
          <w:b/>
        </w:rPr>
      </w:pPr>
      <w:r>
        <w:rPr>
          <w:rFonts w:ascii="方正仿宋_GBK" w:eastAsia="方正仿宋_GBK" w:hAnsi="Calibri"/>
          <w:b/>
        </w:rPr>
        <w:lastRenderedPageBreak/>
        <w:br w:type="page"/>
      </w:r>
    </w:p>
    <w:p w:rsidR="00263E02" w:rsidRDefault="00E07BE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lastRenderedPageBreak/>
        <w:t>§</w:t>
      </w:r>
      <w:r>
        <w:rPr>
          <w:rFonts w:ascii="方正仿宋简体" w:eastAsia="方正仿宋简体" w:hint="eastAsia"/>
          <w:b/>
          <w:sz w:val="24"/>
          <w:szCs w:val="24"/>
        </w:rPr>
        <w:t xml:space="preserve">1 </w:t>
      </w:r>
      <w:r>
        <w:rPr>
          <w:rFonts w:ascii="方正仿宋简体" w:eastAsia="方正仿宋简体" w:hint="eastAsia"/>
          <w:b/>
          <w:sz w:val="24"/>
          <w:szCs w:val="24"/>
        </w:rPr>
        <w:t>产品概况</w:t>
      </w:r>
    </w:p>
    <w:tbl>
      <w:tblPr>
        <w:tblpPr w:leftFromText="180" w:rightFromText="180" w:vertAnchor="text" w:tblpXSpec="center" w:tblpY="1"/>
        <w:tblOverlap w:val="neve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9"/>
        <w:gridCol w:w="6178"/>
      </w:tblGrid>
      <w:tr w:rsidR="00263E02" w:rsidTr="00F11B14">
        <w:trPr>
          <w:trHeight w:val="714"/>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w:t>
            </w:r>
            <w:r>
              <w:rPr>
                <w:rFonts w:ascii="方正仿宋简体" w:eastAsia="方正仿宋简体" w:hint="eastAsia"/>
                <w:sz w:val="24"/>
                <w:szCs w:val="24"/>
              </w:rPr>
              <w:t>51</w:t>
            </w:r>
            <w:r>
              <w:rPr>
                <w:rFonts w:ascii="方正仿宋简体" w:eastAsia="方正仿宋简体" w:hint="eastAsia"/>
                <w:sz w:val="24"/>
                <w:szCs w:val="24"/>
              </w:rPr>
              <w:t>期封闭式公募人民币理财产品</w:t>
            </w:r>
          </w:p>
        </w:tc>
      </w:tr>
      <w:tr w:rsidR="00263E02" w:rsidTr="00F11B14">
        <w:trPr>
          <w:trHeight w:val="1300"/>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Z7003223000230</w:t>
            </w:r>
            <w:r>
              <w:rPr>
                <w:rFonts w:ascii="方正仿宋简体" w:eastAsia="方正仿宋简体" w:hint="eastAsia"/>
                <w:sz w:val="24"/>
                <w:szCs w:val="24"/>
              </w:rPr>
              <w:t>（投资者可依据该编码在中国理财网</w:t>
            </w:r>
            <w:r>
              <w:rPr>
                <w:rFonts w:ascii="方正仿宋简体" w:eastAsia="方正仿宋简体" w:hint="eastAsia"/>
                <w:sz w:val="24"/>
                <w:szCs w:val="24"/>
              </w:rPr>
              <w:t>www.chinawealth.com.cn</w:t>
            </w:r>
            <w:r>
              <w:rPr>
                <w:rFonts w:ascii="方正仿宋简体" w:eastAsia="方正仿宋简体" w:hint="eastAsia"/>
                <w:sz w:val="24"/>
                <w:szCs w:val="24"/>
              </w:rPr>
              <w:t>查询理财产品相关信息）</w:t>
            </w:r>
          </w:p>
        </w:tc>
      </w:tr>
      <w:tr w:rsidR="00263E02" w:rsidTr="00F11B14">
        <w:trPr>
          <w:trHeight w:val="714"/>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263E02" w:rsidTr="00F11B14">
        <w:trPr>
          <w:trHeight w:val="714"/>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2023</w:t>
            </w:r>
            <w:r>
              <w:rPr>
                <w:rFonts w:ascii="方正仿宋简体" w:eastAsia="方正仿宋简体" w:hint="eastAsia"/>
                <w:sz w:val="24"/>
                <w:szCs w:val="24"/>
              </w:rPr>
              <w:t>年</w:t>
            </w:r>
            <w:r>
              <w:rPr>
                <w:rFonts w:ascii="方正仿宋简体" w:eastAsia="方正仿宋简体" w:hint="eastAsia"/>
                <w:sz w:val="24"/>
                <w:szCs w:val="24"/>
              </w:rPr>
              <w:t>12</w:t>
            </w:r>
            <w:r>
              <w:rPr>
                <w:rFonts w:ascii="方正仿宋简体" w:eastAsia="方正仿宋简体" w:hint="eastAsia"/>
                <w:sz w:val="24"/>
                <w:szCs w:val="24"/>
              </w:rPr>
              <w:t>月</w:t>
            </w:r>
            <w:r>
              <w:rPr>
                <w:rFonts w:ascii="方正仿宋简体" w:eastAsia="方正仿宋简体" w:hint="eastAsia"/>
                <w:sz w:val="24"/>
                <w:szCs w:val="24"/>
              </w:rPr>
              <w:t>13</w:t>
            </w:r>
            <w:r>
              <w:rPr>
                <w:rFonts w:ascii="方正仿宋简体" w:eastAsia="方正仿宋简体" w:hint="eastAsia"/>
                <w:sz w:val="24"/>
                <w:szCs w:val="24"/>
              </w:rPr>
              <w:t>日</w:t>
            </w:r>
          </w:p>
        </w:tc>
      </w:tr>
      <w:tr w:rsidR="00263E02" w:rsidTr="00F11B14">
        <w:trPr>
          <w:trHeight w:val="714"/>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162,729,330.00</w:t>
            </w:r>
            <w:r>
              <w:rPr>
                <w:rFonts w:ascii="方正仿宋简体" w:eastAsia="方正仿宋简体" w:hint="eastAsia"/>
                <w:sz w:val="24"/>
                <w:szCs w:val="24"/>
              </w:rPr>
              <w:t>份</w:t>
            </w:r>
          </w:p>
        </w:tc>
      </w:tr>
      <w:tr w:rsidR="00263E02" w:rsidTr="00F11B14">
        <w:trPr>
          <w:trHeight w:val="688"/>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国联基金管理有限公司</w:t>
            </w:r>
            <w:r>
              <w:rPr>
                <w:rFonts w:ascii="方正仿宋简体" w:eastAsia="方正仿宋简体" w:hint="eastAsia"/>
                <w:sz w:val="24"/>
                <w:szCs w:val="24"/>
              </w:rPr>
              <w:t>,</w:t>
            </w:r>
            <w:r>
              <w:rPr>
                <w:rFonts w:ascii="方正仿宋简体" w:eastAsia="方正仿宋简体" w:hint="eastAsia"/>
                <w:sz w:val="24"/>
                <w:szCs w:val="24"/>
              </w:rPr>
              <w:t>国通信托有限责任公司</w:t>
            </w:r>
            <w:r>
              <w:rPr>
                <w:rFonts w:ascii="方正仿宋简体" w:eastAsia="方正仿宋简体" w:hint="eastAsia"/>
                <w:sz w:val="24"/>
                <w:szCs w:val="24"/>
              </w:rPr>
              <w:t>,</w:t>
            </w:r>
            <w:r>
              <w:rPr>
                <w:rFonts w:ascii="方正仿宋简体" w:eastAsia="方正仿宋简体" w:hint="eastAsia"/>
                <w:sz w:val="24"/>
                <w:szCs w:val="24"/>
              </w:rPr>
              <w:t>中国对外经济贸易信托有限公司</w:t>
            </w:r>
          </w:p>
        </w:tc>
      </w:tr>
      <w:tr w:rsidR="00263E02" w:rsidTr="00F11B14">
        <w:trPr>
          <w:trHeight w:val="714"/>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263E02" w:rsidTr="00F11B14">
        <w:trPr>
          <w:trHeight w:val="714"/>
          <w:jc w:val="center"/>
        </w:trPr>
        <w:tc>
          <w:tcPr>
            <w:tcW w:w="2719"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178" w:type="dxa"/>
            <w:vAlign w:val="center"/>
          </w:tcPr>
          <w:p w:rsidR="00263E02" w:rsidRDefault="00E07BE3" w:rsidP="00F11B14">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263E02" w:rsidRDefault="00263E02">
      <w:pPr>
        <w:spacing w:before="240" w:after="72" w:line="360" w:lineRule="auto"/>
        <w:rPr>
          <w:rFonts w:ascii="方正仿宋_GBK" w:eastAsia="方正仿宋_GBK" w:hAnsi="宋体" w:cs="宋体"/>
          <w:kern w:val="0"/>
          <w:sz w:val="24"/>
          <w:szCs w:val="24"/>
        </w:rPr>
      </w:pPr>
    </w:p>
    <w:p w:rsidR="00263E02" w:rsidRDefault="00E07BE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2  </w:t>
      </w:r>
      <w:r>
        <w:rPr>
          <w:rFonts w:ascii="方正仿宋简体" w:eastAsia="方正仿宋简体" w:hint="eastAsia"/>
          <w:b/>
          <w:sz w:val="24"/>
          <w:szCs w:val="24"/>
        </w:rPr>
        <w:t>主要财务指标</w:t>
      </w: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2.1 </w:t>
      </w:r>
      <w:r>
        <w:rPr>
          <w:rFonts w:ascii="方正仿宋简体" w:eastAsia="方正仿宋简体" w:hint="eastAsia"/>
          <w:b/>
          <w:sz w:val="24"/>
          <w:szCs w:val="24"/>
        </w:rPr>
        <w:t>主要财务指标</w:t>
      </w:r>
    </w:p>
    <w:p w:rsidR="00263E02" w:rsidRDefault="00E07BE3">
      <w:pPr>
        <w:spacing w:before="240" w:after="72" w:line="360" w:lineRule="auto"/>
        <w:jc w:val="right"/>
        <w:rPr>
          <w:rFonts w:ascii="方正仿宋简体" w:eastAsia="方正仿宋简体"/>
          <w:sz w:val="24"/>
          <w:szCs w:val="24"/>
        </w:rPr>
      </w:pPr>
      <w:r>
        <w:rPr>
          <w:rFonts w:ascii="方正仿宋简体" w:eastAsia="方正仿宋简体" w:hint="eastAsia"/>
          <w:sz w:val="24"/>
          <w:szCs w:val="24"/>
        </w:rPr>
        <w:t>单位：人民币元</w:t>
      </w:r>
    </w:p>
    <w:tbl>
      <w:tblPr>
        <w:tblpPr w:leftFromText="180" w:rightFromText="180"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2693"/>
        <w:gridCol w:w="2410"/>
        <w:gridCol w:w="2126"/>
      </w:tblGrid>
      <w:tr w:rsidR="00263E02">
        <w:trPr>
          <w:trHeight w:val="699"/>
          <w:jc w:val="center"/>
        </w:trPr>
        <w:tc>
          <w:tcPr>
            <w:tcW w:w="1838" w:type="dxa"/>
            <w:vMerge w:val="restart"/>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内部销售代码</w:t>
            </w:r>
          </w:p>
        </w:tc>
        <w:tc>
          <w:tcPr>
            <w:tcW w:w="7229" w:type="dxa"/>
            <w:gridSpan w:val="3"/>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报告期（</w:t>
            </w:r>
            <w:r>
              <w:rPr>
                <w:rFonts w:ascii="方正仿宋简体" w:eastAsia="方正仿宋简体" w:hint="eastAsia"/>
                <w:sz w:val="24"/>
                <w:szCs w:val="24"/>
              </w:rPr>
              <w:t>2024</w:t>
            </w:r>
            <w:r>
              <w:rPr>
                <w:rFonts w:ascii="方正仿宋简体" w:eastAsia="方正仿宋简体" w:hint="eastAsia"/>
                <w:sz w:val="24"/>
                <w:szCs w:val="24"/>
              </w:rPr>
              <w:t>年</w:t>
            </w:r>
            <w:r>
              <w:rPr>
                <w:rFonts w:ascii="方正仿宋简体" w:eastAsia="方正仿宋简体" w:hint="eastAsia"/>
                <w:sz w:val="24"/>
                <w:szCs w:val="24"/>
              </w:rPr>
              <w:t>01</w:t>
            </w:r>
            <w:r>
              <w:rPr>
                <w:rFonts w:ascii="方正仿宋简体" w:eastAsia="方正仿宋简体" w:hint="eastAsia"/>
                <w:sz w:val="24"/>
                <w:szCs w:val="24"/>
              </w:rPr>
              <w:t>月</w:t>
            </w:r>
            <w:r>
              <w:rPr>
                <w:rFonts w:ascii="方正仿宋简体" w:eastAsia="方正仿宋简体" w:hint="eastAsia"/>
                <w:sz w:val="24"/>
                <w:szCs w:val="24"/>
              </w:rPr>
              <w:t>01</w:t>
            </w:r>
            <w:r>
              <w:rPr>
                <w:rFonts w:ascii="方正仿宋简体" w:eastAsia="方正仿宋简体" w:hint="eastAsia"/>
                <w:sz w:val="24"/>
                <w:szCs w:val="24"/>
              </w:rPr>
              <w:t>日</w:t>
            </w:r>
            <w:r>
              <w:rPr>
                <w:rFonts w:ascii="方正仿宋简体" w:eastAsia="方正仿宋简体" w:hint="eastAsia"/>
                <w:sz w:val="24"/>
                <w:szCs w:val="24"/>
              </w:rPr>
              <w:t xml:space="preserve"> - 2024</w:t>
            </w:r>
            <w:r>
              <w:rPr>
                <w:rFonts w:ascii="方正仿宋简体" w:eastAsia="方正仿宋简体" w:hint="eastAsia"/>
                <w:sz w:val="24"/>
                <w:szCs w:val="24"/>
              </w:rPr>
              <w:t>年</w:t>
            </w:r>
            <w:r>
              <w:rPr>
                <w:rFonts w:ascii="方正仿宋简体" w:eastAsia="方正仿宋简体" w:hint="eastAsia"/>
                <w:sz w:val="24"/>
                <w:szCs w:val="24"/>
              </w:rPr>
              <w:t>03</w:t>
            </w:r>
            <w:r>
              <w:rPr>
                <w:rFonts w:ascii="方正仿宋简体" w:eastAsia="方正仿宋简体" w:hint="eastAsia"/>
                <w:sz w:val="24"/>
                <w:szCs w:val="24"/>
              </w:rPr>
              <w:t>月</w:t>
            </w:r>
            <w:r>
              <w:rPr>
                <w:rFonts w:ascii="方正仿宋简体" w:eastAsia="方正仿宋简体" w:hint="eastAsia"/>
                <w:sz w:val="24"/>
                <w:szCs w:val="24"/>
              </w:rPr>
              <w:t>31</w:t>
            </w:r>
            <w:r>
              <w:rPr>
                <w:rFonts w:ascii="方正仿宋简体" w:eastAsia="方正仿宋简体" w:hint="eastAsia"/>
                <w:sz w:val="24"/>
                <w:szCs w:val="24"/>
              </w:rPr>
              <w:t>日）</w:t>
            </w:r>
          </w:p>
        </w:tc>
      </w:tr>
      <w:tr w:rsidR="00263E02">
        <w:trPr>
          <w:trHeight w:val="1697"/>
          <w:jc w:val="center"/>
        </w:trPr>
        <w:tc>
          <w:tcPr>
            <w:tcW w:w="1838" w:type="dxa"/>
            <w:vMerge/>
            <w:vAlign w:val="center"/>
          </w:tcPr>
          <w:p w:rsidR="00263E02" w:rsidRDefault="00263E02" w:rsidP="00F11B14">
            <w:pPr>
              <w:spacing w:beforeLines="20" w:afterLines="20"/>
              <w:jc w:val="center"/>
              <w:rPr>
                <w:rFonts w:ascii="方正仿宋简体" w:eastAsia="方正仿宋简体"/>
                <w:sz w:val="24"/>
                <w:szCs w:val="24"/>
              </w:rPr>
            </w:pPr>
          </w:p>
        </w:tc>
        <w:tc>
          <w:tcPr>
            <w:tcW w:w="2693"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r>
              <w:rPr>
                <w:rFonts w:ascii="方正仿宋简体" w:eastAsia="方正仿宋简体" w:hint="eastAsia"/>
                <w:sz w:val="24"/>
                <w:szCs w:val="24"/>
              </w:rPr>
              <w:t>期末产品最后一个市场交易日资产净值</w:t>
            </w:r>
          </w:p>
        </w:tc>
        <w:tc>
          <w:tcPr>
            <w:tcW w:w="2410"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r>
              <w:rPr>
                <w:rFonts w:ascii="方正仿宋简体" w:eastAsia="方正仿宋简体" w:hint="eastAsia"/>
                <w:sz w:val="24"/>
                <w:szCs w:val="24"/>
              </w:rPr>
              <w:t>期末产品最后一个市场交易日份额净值</w:t>
            </w:r>
          </w:p>
        </w:tc>
        <w:tc>
          <w:tcPr>
            <w:tcW w:w="2126"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r>
              <w:rPr>
                <w:rFonts w:ascii="方正仿宋简体" w:eastAsia="方正仿宋简体" w:hint="eastAsia"/>
                <w:sz w:val="24"/>
                <w:szCs w:val="24"/>
              </w:rPr>
              <w:t>期末产品最后一个市场交易日份额累计净值</w:t>
            </w:r>
          </w:p>
        </w:tc>
      </w:tr>
      <w:tr w:rsidR="00263E0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Y60051</w:t>
            </w:r>
          </w:p>
        </w:tc>
        <w:tc>
          <w:tcPr>
            <w:tcW w:w="2693"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64,947,558.43</w:t>
            </w:r>
          </w:p>
        </w:tc>
        <w:tc>
          <w:tcPr>
            <w:tcW w:w="2410"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1.0102</w:t>
            </w:r>
          </w:p>
        </w:tc>
        <w:tc>
          <w:tcPr>
            <w:tcW w:w="2126"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1.0102</w:t>
            </w:r>
          </w:p>
        </w:tc>
      </w:tr>
      <w:tr w:rsidR="00263E0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Y61051</w:t>
            </w:r>
          </w:p>
        </w:tc>
        <w:tc>
          <w:tcPr>
            <w:tcW w:w="2693"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70,163,832.40</w:t>
            </w:r>
          </w:p>
        </w:tc>
        <w:tc>
          <w:tcPr>
            <w:tcW w:w="2410"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1.0105</w:t>
            </w:r>
          </w:p>
        </w:tc>
        <w:tc>
          <w:tcPr>
            <w:tcW w:w="2126"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1.0105</w:t>
            </w:r>
          </w:p>
        </w:tc>
      </w:tr>
      <w:tr w:rsidR="00263E02">
        <w:tblPrEx>
          <w:tblBorders>
            <w:top w:val="single" w:sz="1" w:space="0" w:color="000000"/>
            <w:left w:val="single" w:sz="1" w:space="0" w:color="000000"/>
            <w:bottom w:val="single" w:sz="1" w:space="0" w:color="000000"/>
            <w:right w:val="single" w:sz="1" w:space="0" w:color="000000"/>
          </w:tblBorders>
        </w:tblPrEx>
        <w:trPr>
          <w:trHeight w:val="565"/>
          <w:jc w:val="center"/>
        </w:trPr>
        <w:tc>
          <w:tcPr>
            <w:tcW w:w="1838"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Y62051</w:t>
            </w:r>
          </w:p>
        </w:tc>
        <w:tc>
          <w:tcPr>
            <w:tcW w:w="2693"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29,326,798.45</w:t>
            </w:r>
          </w:p>
        </w:tc>
        <w:tc>
          <w:tcPr>
            <w:tcW w:w="2410"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1.0108</w:t>
            </w:r>
          </w:p>
        </w:tc>
        <w:tc>
          <w:tcPr>
            <w:tcW w:w="2126"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1.0108</w:t>
            </w:r>
          </w:p>
        </w:tc>
      </w:tr>
    </w:tbl>
    <w:p w:rsidR="00263E02" w:rsidRDefault="00E07BE3">
      <w:pPr>
        <w:pStyle w:val="biaogeleft"/>
        <w:spacing w:before="240" w:after="72" w:line="360" w:lineRule="auto"/>
        <w:ind w:left="0"/>
        <w:rPr>
          <w:rFonts w:ascii="方正仿宋简体" w:eastAsia="方正仿宋简体" w:hAnsi="Times New Roman" w:cs="Times New Roman"/>
          <w:kern w:val="2"/>
        </w:rPr>
      </w:pPr>
      <w:r>
        <w:rPr>
          <w:rFonts w:ascii="方正仿宋简体" w:eastAsia="方正仿宋简体" w:hAnsi="Times New Roman" w:cs="Times New Roman" w:hint="eastAsia"/>
          <w:kern w:val="2"/>
        </w:rPr>
        <w:t>注：产品净值可能存在未扣除管理人及投资合作机构业绩报酬、赎回费等费用（如有）的情况，实际收益以兑付为准。</w:t>
      </w:r>
    </w:p>
    <w:p w:rsidR="00263E02" w:rsidRDefault="00263E02">
      <w:pPr>
        <w:spacing w:before="240" w:after="72" w:line="360" w:lineRule="auto"/>
        <w:rPr>
          <w:rFonts w:ascii="方正仿宋_GBK" w:eastAsia="方正仿宋_GBK"/>
          <w:sz w:val="24"/>
          <w:szCs w:val="24"/>
        </w:rPr>
      </w:pPr>
    </w:p>
    <w:p w:rsidR="00263E02" w:rsidRDefault="00E07BE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3  </w:t>
      </w:r>
      <w:r>
        <w:rPr>
          <w:rFonts w:ascii="方正仿宋简体" w:eastAsia="方正仿宋简体" w:hint="eastAsia"/>
          <w:b/>
          <w:sz w:val="24"/>
          <w:szCs w:val="24"/>
        </w:rPr>
        <w:t>管理人报告</w:t>
      </w: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3.1 </w:t>
      </w:r>
      <w:r>
        <w:rPr>
          <w:rFonts w:ascii="方正仿宋简体" w:eastAsia="方正仿宋简体" w:hint="eastAsia"/>
          <w:b/>
          <w:sz w:val="24"/>
          <w:szCs w:val="24"/>
        </w:rPr>
        <w:t>报告期内产品的投资策略和运作分析</w:t>
      </w:r>
    </w:p>
    <w:p w:rsidR="00263E02" w:rsidRDefault="00E07BE3">
      <w:pPr>
        <w:spacing w:before="240" w:after="72" w:line="360" w:lineRule="auto"/>
        <w:rPr>
          <w:rFonts w:ascii="方正仿宋简体" w:eastAsia="方正仿宋简体"/>
          <w:sz w:val="24"/>
          <w:szCs w:val="24"/>
        </w:rPr>
      </w:pPr>
      <w:r>
        <w:rPr>
          <w:rFonts w:ascii="方正仿宋简体" w:eastAsia="方正仿宋简体" w:hint="eastAsia"/>
          <w:sz w:val="24"/>
          <w:szCs w:val="24"/>
        </w:rPr>
        <w:t>  一季度经济整体延续弱修复状态，地产销售仍然一般，地产修复较为缓慢，消费增速受基数影响回落，出口增速略超预期。</w:t>
      </w:r>
      <w:r>
        <w:rPr>
          <w:rFonts w:ascii="方正仿宋简体" w:eastAsia="方正仿宋简体" w:hint="eastAsia"/>
          <w:sz w:val="24"/>
          <w:szCs w:val="24"/>
        </w:rPr>
        <w:t>3</w:t>
      </w:r>
      <w:r>
        <w:rPr>
          <w:rFonts w:ascii="方正仿宋简体" w:eastAsia="方正仿宋简体" w:hint="eastAsia"/>
          <w:sz w:val="24"/>
          <w:szCs w:val="24"/>
        </w:rPr>
        <w:t>月政府工作报告中，对于财政支出的规模较为克制，在此背景下，经济短期内继续呈现弱修复状态。一季度央行超预期降准降息，非对称调降</w:t>
      </w:r>
      <w:r>
        <w:rPr>
          <w:rFonts w:ascii="方正仿宋简体" w:eastAsia="方正仿宋简体" w:hint="eastAsia"/>
          <w:sz w:val="24"/>
          <w:szCs w:val="24"/>
        </w:rPr>
        <w:t>5</w:t>
      </w:r>
      <w:r>
        <w:rPr>
          <w:rFonts w:ascii="方正仿宋简体" w:eastAsia="方正仿宋简体" w:hint="eastAsia"/>
          <w:sz w:val="24"/>
          <w:szCs w:val="24"/>
        </w:rPr>
        <w:t>年期</w:t>
      </w:r>
      <w:r>
        <w:rPr>
          <w:rFonts w:ascii="方正仿宋简体" w:eastAsia="方正仿宋简体" w:hint="eastAsia"/>
          <w:sz w:val="24"/>
          <w:szCs w:val="24"/>
        </w:rPr>
        <w:t>LPR 25bp</w:t>
      </w:r>
      <w:r>
        <w:rPr>
          <w:rFonts w:ascii="方正仿宋简体" w:eastAsia="方正仿宋简体" w:hint="eastAsia"/>
          <w:sz w:val="24"/>
          <w:szCs w:val="24"/>
        </w:rPr>
        <w:t>，央行在月中月末和节前加大投放，</w:t>
      </w:r>
      <w:r>
        <w:rPr>
          <w:rFonts w:ascii="方正仿宋简体" w:eastAsia="方正仿宋简体" w:hint="eastAsia"/>
          <w:sz w:val="24"/>
          <w:szCs w:val="24"/>
        </w:rPr>
        <w:t>3</w:t>
      </w:r>
      <w:r>
        <w:rPr>
          <w:rFonts w:ascii="方正仿宋简体" w:eastAsia="方正仿宋简体" w:hint="eastAsia"/>
          <w:sz w:val="24"/>
          <w:szCs w:val="24"/>
        </w:rPr>
        <w:t>月开始缩量投放，货币政策基调稳中偏宽，在资金空转和汇率因素约束下，大幅宽松概率也较小，资金面持稳。整体来看，一季度呈现弱复苏的状态，需求端有回升但幅度并不明显，货币政策短期内预计仍以宽松为主，实体经济融资需求仍然一般，</w:t>
      </w:r>
      <w:r>
        <w:rPr>
          <w:rFonts w:ascii="方正仿宋简体" w:eastAsia="方正仿宋简体" w:hint="eastAsia"/>
          <w:sz w:val="24"/>
          <w:szCs w:val="24"/>
        </w:rPr>
        <w:t>整体环境对债市仍有利。一季度利率基本呈现下行状态，仅</w:t>
      </w:r>
      <w:r>
        <w:rPr>
          <w:rFonts w:ascii="方正仿宋简体" w:eastAsia="方正仿宋简体" w:hint="eastAsia"/>
          <w:sz w:val="24"/>
          <w:szCs w:val="24"/>
        </w:rPr>
        <w:t>3</w:t>
      </w:r>
      <w:r>
        <w:rPr>
          <w:rFonts w:ascii="方正仿宋简体" w:eastAsia="方正仿宋简体" w:hint="eastAsia"/>
          <w:sz w:val="24"/>
          <w:szCs w:val="24"/>
        </w:rPr>
        <w:t>月初小幅调整，</w:t>
      </w:r>
      <w:r>
        <w:rPr>
          <w:rFonts w:ascii="方正仿宋简体" w:eastAsia="方正仿宋简体" w:hint="eastAsia"/>
          <w:sz w:val="24"/>
          <w:szCs w:val="24"/>
        </w:rPr>
        <w:t>10</w:t>
      </w:r>
      <w:r>
        <w:rPr>
          <w:rFonts w:ascii="方正仿宋简体" w:eastAsia="方正仿宋简体" w:hint="eastAsia"/>
          <w:sz w:val="24"/>
          <w:szCs w:val="24"/>
        </w:rPr>
        <w:t>年国债从年初的</w:t>
      </w:r>
      <w:r>
        <w:rPr>
          <w:rFonts w:ascii="方正仿宋简体" w:eastAsia="方正仿宋简体" w:hint="eastAsia"/>
          <w:sz w:val="24"/>
          <w:szCs w:val="24"/>
        </w:rPr>
        <w:t>2.56%</w:t>
      </w:r>
      <w:r>
        <w:rPr>
          <w:rFonts w:ascii="方正仿宋简体" w:eastAsia="方正仿宋简体" w:hint="eastAsia"/>
          <w:sz w:val="24"/>
          <w:szCs w:val="24"/>
        </w:rPr>
        <w:t>下行至季末的</w:t>
      </w:r>
      <w:r>
        <w:rPr>
          <w:rFonts w:ascii="方正仿宋简体" w:eastAsia="方正仿宋简体" w:hint="eastAsia"/>
          <w:sz w:val="24"/>
          <w:szCs w:val="24"/>
        </w:rPr>
        <w:t>2.29%</w:t>
      </w:r>
      <w:r>
        <w:rPr>
          <w:rFonts w:ascii="方正仿宋简体" w:eastAsia="方正仿宋简体" w:hint="eastAsia"/>
          <w:sz w:val="24"/>
          <w:szCs w:val="24"/>
        </w:rPr>
        <w:t>，信用债下行</w:t>
      </w:r>
      <w:r>
        <w:rPr>
          <w:rFonts w:ascii="方正仿宋简体" w:eastAsia="方正仿宋简体" w:hint="eastAsia"/>
          <w:sz w:val="24"/>
          <w:szCs w:val="24"/>
        </w:rPr>
        <w:t>20-50bp</w:t>
      </w:r>
      <w:r>
        <w:rPr>
          <w:rFonts w:ascii="方正仿宋简体" w:eastAsia="方正仿宋简体" w:hint="eastAsia"/>
          <w:sz w:val="24"/>
          <w:szCs w:val="24"/>
        </w:rPr>
        <w:t>不等，其中中低评级、长久期的品种下行幅度更大，中债新综合财富指数上涨</w:t>
      </w:r>
      <w:r>
        <w:rPr>
          <w:rFonts w:ascii="方正仿宋简体" w:eastAsia="方正仿宋简体" w:hint="eastAsia"/>
          <w:sz w:val="24"/>
          <w:szCs w:val="24"/>
        </w:rPr>
        <w:t>0.5%</w:t>
      </w:r>
      <w:r>
        <w:rPr>
          <w:rFonts w:ascii="方正仿宋简体" w:eastAsia="方正仿宋简体" w:hint="eastAsia"/>
          <w:sz w:val="24"/>
          <w:szCs w:val="24"/>
        </w:rPr>
        <w:t>左右。</w:t>
      </w:r>
      <w:r>
        <w:rPr>
          <w:rFonts w:ascii="方正仿宋简体" w:eastAsia="方正仿宋简体" w:hint="eastAsia"/>
          <w:sz w:val="24"/>
          <w:szCs w:val="24"/>
        </w:rPr>
        <w:br w:type="textWrapping" w:clear="all"/>
      </w:r>
      <w:r>
        <w:rPr>
          <w:rFonts w:ascii="方正仿宋简体" w:eastAsia="方正仿宋简体" w:hint="eastAsia"/>
          <w:sz w:val="24"/>
          <w:szCs w:val="24"/>
        </w:rPr>
        <w:t>  往后看，地产销售仍然较为一般，居民预期普遍偏弱，地产对经济的拖累仍存，融资需求较弱，</w:t>
      </w:r>
      <w:r>
        <w:rPr>
          <w:rFonts w:ascii="方正仿宋简体" w:eastAsia="方正仿宋简体" w:hint="eastAsia"/>
          <w:sz w:val="24"/>
          <w:szCs w:val="24"/>
        </w:rPr>
        <w:t>M1</w:t>
      </w:r>
      <w:r>
        <w:rPr>
          <w:rFonts w:ascii="方正仿宋简体" w:eastAsia="方正仿宋简体" w:hint="eastAsia"/>
          <w:sz w:val="24"/>
          <w:szCs w:val="24"/>
        </w:rPr>
        <w:t>增速再度回落，显示经济活力偏弱，基本面弱修复对债市利多。在基本面较弱的背景下，货币政策预计仍以稳增长为主，延续宽松基调，债券收益率上行幅度有限。从债券供需来看，</w:t>
      </w:r>
      <w:r>
        <w:rPr>
          <w:rFonts w:ascii="方正仿宋简体" w:eastAsia="方正仿宋简体" w:hint="eastAsia"/>
          <w:sz w:val="24"/>
          <w:szCs w:val="24"/>
        </w:rPr>
        <w:t>4</w:t>
      </w:r>
      <w:r>
        <w:rPr>
          <w:rFonts w:ascii="方正仿宋简体" w:eastAsia="方正仿宋简体" w:hint="eastAsia"/>
          <w:sz w:val="24"/>
          <w:szCs w:val="24"/>
        </w:rPr>
        <w:t>月债券到期量仍较大，对应的配置压力也将比较大，叠加</w:t>
      </w:r>
      <w:r>
        <w:rPr>
          <w:rFonts w:ascii="方正仿宋简体" w:eastAsia="方正仿宋简体" w:hint="eastAsia"/>
          <w:sz w:val="24"/>
          <w:szCs w:val="24"/>
        </w:rPr>
        <w:lastRenderedPageBreak/>
        <w:t>市场预期较为一致，若收益率上行配置盘将介入，制约利率上行幅度。</w:t>
      </w:r>
      <w:r>
        <w:rPr>
          <w:rFonts w:ascii="方正仿宋简体" w:eastAsia="方正仿宋简体" w:hint="eastAsia"/>
          <w:sz w:val="24"/>
          <w:szCs w:val="24"/>
        </w:rPr>
        <w:br w:type="textWrapping" w:clear="all"/>
      </w:r>
      <w:r>
        <w:rPr>
          <w:rFonts w:ascii="方正仿宋简体" w:eastAsia="方正仿宋简体" w:hint="eastAsia"/>
          <w:sz w:val="24"/>
          <w:szCs w:val="24"/>
        </w:rPr>
        <w:t>  鑫逸稳两年期封闭式产品，今年一季度产品操作稳健略偏积极，一季度债券市场整体走强，信用各品种呈现利差压缩态势，曲线极度平坦，债市在资产荒驱动下</w:t>
      </w:r>
      <w:r>
        <w:rPr>
          <w:rFonts w:ascii="方正仿宋简体" w:eastAsia="方正仿宋简体" w:hint="eastAsia"/>
          <w:sz w:val="24"/>
          <w:szCs w:val="24"/>
        </w:rPr>
        <w:t>收益率继续下探。一季度产品运作过程中把握债券估值性价比相对较高的窗口期，积极寻找个券配置机会，提升组合静态，由于流动性环境充裕，组合运作保持了适度的杠杆水平以增厚产品收益。市场机会把握方面，主要关注并参与了银行资本补充工具、利率债等的投资机会，获得了不错的票息及资本利得增厚。下一阶段，产品将继续围绕稳健回报的收益目标进行操作，审慎精选票息品种，久期维持中性水平，及时做好市场走势的跟踪与研判，挖掘潜在投资机会。</w:t>
      </w: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3.2 </w:t>
      </w:r>
      <w:r>
        <w:rPr>
          <w:rFonts w:ascii="方正仿宋简体" w:eastAsia="方正仿宋简体" w:hint="eastAsia"/>
          <w:b/>
          <w:sz w:val="24"/>
          <w:szCs w:val="24"/>
        </w:rPr>
        <w:t>报告期内产品的流动性风险分析</w:t>
      </w:r>
    </w:p>
    <w:p w:rsidR="00263E02" w:rsidRDefault="00E07BE3">
      <w:pPr>
        <w:spacing w:before="240" w:after="72" w:line="360" w:lineRule="auto"/>
        <w:rPr>
          <w:rFonts w:ascii="方正仿宋简体" w:eastAsia="方正仿宋简体"/>
          <w:sz w:val="24"/>
          <w:szCs w:val="24"/>
        </w:rPr>
      </w:pPr>
      <w:r>
        <w:rPr>
          <w:rFonts w:ascii="方正仿宋简体" w:eastAsia="方正仿宋简体"/>
          <w:sz w:val="24"/>
          <w:szCs w:val="24"/>
        </w:rPr>
        <w:t>  </w:t>
      </w:r>
      <w:r>
        <w:rPr>
          <w:rFonts w:ascii="方正仿宋简体" w:eastAsia="方正仿宋简体"/>
          <w:sz w:val="24"/>
          <w:szCs w:val="24"/>
        </w:rPr>
        <w:t>今年一季度以来，非银资金成本虽有一定分层，但资金环境整体</w:t>
      </w:r>
      <w:r>
        <w:rPr>
          <w:rFonts w:ascii="方正仿宋简体" w:eastAsia="方正仿宋简体"/>
          <w:sz w:val="24"/>
          <w:szCs w:val="24"/>
        </w:rPr>
        <w:t>维持平稳偏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3.3 </w:t>
      </w:r>
      <w:r>
        <w:rPr>
          <w:rFonts w:ascii="方正仿宋简体" w:eastAsia="方正仿宋简体" w:hint="eastAsia"/>
          <w:b/>
          <w:sz w:val="24"/>
          <w:szCs w:val="24"/>
        </w:rPr>
        <w:t>报告期内产品的业绩表现</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w:t>
      </w:r>
      <w:r>
        <w:rPr>
          <w:rFonts w:ascii="方正仿宋简体" w:eastAsia="方正仿宋简体" w:hint="eastAsia"/>
          <w:sz w:val="24"/>
          <w:szCs w:val="24"/>
        </w:rPr>
        <w:t>Y60051</w:t>
      </w:r>
      <w:r>
        <w:rPr>
          <w:rFonts w:ascii="方正仿宋简体" w:eastAsia="方正仿宋简体" w:hint="eastAsia"/>
          <w:sz w:val="24"/>
          <w:szCs w:val="24"/>
        </w:rPr>
        <w:t>份额净值为</w:t>
      </w:r>
      <w:r>
        <w:rPr>
          <w:rFonts w:ascii="方正仿宋简体" w:eastAsia="方正仿宋简体" w:hint="eastAsia"/>
          <w:sz w:val="24"/>
          <w:szCs w:val="24"/>
        </w:rPr>
        <w:t>1.0102</w:t>
      </w:r>
      <w:r>
        <w:rPr>
          <w:rFonts w:ascii="方正仿宋简体" w:eastAsia="方正仿宋简体" w:hint="eastAsia"/>
          <w:sz w:val="24"/>
          <w:szCs w:val="24"/>
        </w:rPr>
        <w:t>元，</w:t>
      </w:r>
      <w:r>
        <w:rPr>
          <w:rFonts w:ascii="方正仿宋简体" w:eastAsia="方正仿宋简体" w:hint="eastAsia"/>
          <w:sz w:val="24"/>
          <w:szCs w:val="24"/>
        </w:rPr>
        <w:t>Y61051</w:t>
      </w:r>
      <w:r>
        <w:rPr>
          <w:rFonts w:ascii="方正仿宋简体" w:eastAsia="方正仿宋简体" w:hint="eastAsia"/>
          <w:sz w:val="24"/>
          <w:szCs w:val="24"/>
        </w:rPr>
        <w:t>份额净值为</w:t>
      </w:r>
      <w:r>
        <w:rPr>
          <w:rFonts w:ascii="方正仿宋简体" w:eastAsia="方正仿宋简体" w:hint="eastAsia"/>
          <w:sz w:val="24"/>
          <w:szCs w:val="24"/>
        </w:rPr>
        <w:t>1.0105</w:t>
      </w:r>
      <w:r>
        <w:rPr>
          <w:rFonts w:ascii="方正仿宋简体" w:eastAsia="方正仿宋简体" w:hint="eastAsia"/>
          <w:sz w:val="24"/>
          <w:szCs w:val="24"/>
        </w:rPr>
        <w:t>元，</w:t>
      </w:r>
      <w:r>
        <w:rPr>
          <w:rFonts w:ascii="方正仿宋简体" w:eastAsia="方正仿宋简体" w:hint="eastAsia"/>
          <w:sz w:val="24"/>
          <w:szCs w:val="24"/>
        </w:rPr>
        <w:t>Y62051</w:t>
      </w:r>
      <w:r>
        <w:rPr>
          <w:rFonts w:ascii="方正仿宋简体" w:eastAsia="方正仿宋简体" w:hint="eastAsia"/>
          <w:sz w:val="24"/>
          <w:szCs w:val="24"/>
        </w:rPr>
        <w:t>份额净值为</w:t>
      </w:r>
      <w:r>
        <w:rPr>
          <w:rFonts w:ascii="方正仿宋简体" w:eastAsia="方正仿宋简体" w:hint="eastAsia"/>
          <w:sz w:val="24"/>
          <w:szCs w:val="24"/>
        </w:rPr>
        <w:t>1.0108</w:t>
      </w:r>
      <w:r>
        <w:rPr>
          <w:rFonts w:ascii="方正仿宋简体" w:eastAsia="方正仿宋简体" w:hint="eastAsia"/>
          <w:sz w:val="24"/>
          <w:szCs w:val="24"/>
        </w:rPr>
        <w:t>元。</w:t>
      </w:r>
    </w:p>
    <w:p w:rsidR="00263E02" w:rsidRDefault="00263E02">
      <w:pPr>
        <w:spacing w:before="240" w:after="72" w:line="360" w:lineRule="auto"/>
        <w:rPr>
          <w:rFonts w:ascii="方正仿宋_GBK" w:eastAsia="方正仿宋_GBK" w:hAnsi="宋体"/>
          <w:sz w:val="24"/>
          <w:szCs w:val="24"/>
        </w:rPr>
      </w:pPr>
    </w:p>
    <w:p w:rsidR="00263E02" w:rsidRDefault="00E07BE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4  </w:t>
      </w:r>
      <w:r>
        <w:rPr>
          <w:rFonts w:ascii="方正仿宋简体" w:eastAsia="方正仿宋简体" w:hint="eastAsia"/>
          <w:b/>
          <w:sz w:val="24"/>
          <w:szCs w:val="24"/>
        </w:rPr>
        <w:t>投资组合报告</w:t>
      </w: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lastRenderedPageBreak/>
        <w:t xml:space="preserve">4.1 </w:t>
      </w:r>
      <w:r>
        <w:rPr>
          <w:rFonts w:ascii="方正仿宋简体" w:eastAsia="方正仿宋简体" w:hint="eastAsia"/>
          <w:b/>
          <w:sz w:val="24"/>
          <w:szCs w:val="24"/>
        </w:rPr>
        <w:t>报告期末产品资产组合情况</w:t>
      </w:r>
    </w:p>
    <w:tbl>
      <w:tblPr>
        <w:tblpPr w:leftFromText="180" w:rightFromText="180" w:vertAnchor="text" w:tblpXSpec="center" w:tblpY="1"/>
        <w:tblOverlap w:val="neve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5"/>
        <w:gridCol w:w="1859"/>
        <w:gridCol w:w="3002"/>
        <w:gridCol w:w="3289"/>
      </w:tblGrid>
      <w:tr w:rsidR="00263E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85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资产类别</w:t>
            </w:r>
          </w:p>
        </w:tc>
        <w:tc>
          <w:tcPr>
            <w:tcW w:w="3002"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穿透前占总</w:t>
            </w:r>
            <w:r>
              <w:rPr>
                <w:rFonts w:ascii="方正仿宋简体" w:eastAsia="方正仿宋简体" w:hint="eastAsia"/>
                <w:sz w:val="24"/>
                <w:szCs w:val="24"/>
              </w:rPr>
              <w:t>资产比例</w:t>
            </w:r>
          </w:p>
        </w:tc>
        <w:tc>
          <w:tcPr>
            <w:tcW w:w="328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穿透后占总资产比例</w:t>
            </w:r>
          </w:p>
        </w:tc>
      </w:tr>
      <w:tr w:rsidR="00263E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1</w:t>
            </w:r>
          </w:p>
        </w:tc>
        <w:tc>
          <w:tcPr>
            <w:tcW w:w="185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固定收益类</w:t>
            </w:r>
          </w:p>
        </w:tc>
        <w:tc>
          <w:tcPr>
            <w:tcW w:w="3002"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r w:rsidR="00263E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2</w:t>
            </w:r>
          </w:p>
        </w:tc>
        <w:tc>
          <w:tcPr>
            <w:tcW w:w="185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权益类</w:t>
            </w:r>
          </w:p>
        </w:tc>
        <w:tc>
          <w:tcPr>
            <w:tcW w:w="3002"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63E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3</w:t>
            </w:r>
          </w:p>
        </w:tc>
        <w:tc>
          <w:tcPr>
            <w:tcW w:w="185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商品及金融衍生品类</w:t>
            </w:r>
          </w:p>
        </w:tc>
        <w:tc>
          <w:tcPr>
            <w:tcW w:w="3002"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63E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4</w:t>
            </w:r>
          </w:p>
        </w:tc>
        <w:tc>
          <w:tcPr>
            <w:tcW w:w="185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混合类</w:t>
            </w:r>
          </w:p>
        </w:tc>
        <w:tc>
          <w:tcPr>
            <w:tcW w:w="3002"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c>
          <w:tcPr>
            <w:tcW w:w="328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0.00%</w:t>
            </w:r>
          </w:p>
        </w:tc>
      </w:tr>
      <w:tr w:rsidR="00263E02">
        <w:trPr>
          <w:jc w:val="center"/>
        </w:trPr>
        <w:tc>
          <w:tcPr>
            <w:tcW w:w="745"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5</w:t>
            </w:r>
          </w:p>
        </w:tc>
        <w:tc>
          <w:tcPr>
            <w:tcW w:w="185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合计</w:t>
            </w:r>
          </w:p>
        </w:tc>
        <w:tc>
          <w:tcPr>
            <w:tcW w:w="3002"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c>
          <w:tcPr>
            <w:tcW w:w="3289" w:type="dxa"/>
            <w:tcBorders>
              <w:top w:val="single" w:sz="4" w:space="0" w:color="auto"/>
              <w:left w:val="single" w:sz="4" w:space="0" w:color="auto"/>
              <w:bottom w:val="single" w:sz="4" w:space="0" w:color="auto"/>
              <w:right w:val="single" w:sz="4" w:space="0" w:color="auto"/>
            </w:tcBorders>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100.00%</w:t>
            </w:r>
          </w:p>
        </w:tc>
      </w:tr>
    </w:tbl>
    <w:p w:rsidR="00263E02" w:rsidRDefault="00263E02">
      <w:pPr>
        <w:spacing w:before="240" w:after="72" w:line="360" w:lineRule="auto"/>
        <w:rPr>
          <w:rFonts w:ascii="方正仿宋_GBK" w:eastAsia="方正仿宋_GBK"/>
          <w:sz w:val="24"/>
          <w:szCs w:val="24"/>
        </w:rPr>
      </w:pP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t xml:space="preserve">4.2 </w:t>
      </w:r>
      <w:r>
        <w:rPr>
          <w:rFonts w:ascii="方正仿宋简体" w:eastAsia="方正仿宋简体" w:hint="eastAsia"/>
          <w:b/>
          <w:sz w:val="24"/>
          <w:szCs w:val="24"/>
        </w:rPr>
        <w:t>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0"/>
        <w:gridCol w:w="1581"/>
        <w:gridCol w:w="2712"/>
        <w:gridCol w:w="2052"/>
        <w:gridCol w:w="1807"/>
      </w:tblGrid>
      <w:tr w:rsidR="00263E02">
        <w:trPr>
          <w:trHeight w:val="1233"/>
          <w:jc w:val="center"/>
        </w:trPr>
        <w:tc>
          <w:tcPr>
            <w:tcW w:w="750"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581"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代码</w:t>
            </w:r>
          </w:p>
        </w:tc>
        <w:tc>
          <w:tcPr>
            <w:tcW w:w="2712"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名称</w:t>
            </w:r>
          </w:p>
        </w:tc>
        <w:tc>
          <w:tcPr>
            <w:tcW w:w="2052"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公允价值（元）</w:t>
            </w:r>
          </w:p>
        </w:tc>
        <w:tc>
          <w:tcPr>
            <w:tcW w:w="1807"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占产品资产净值比例（％）</w:t>
            </w:r>
          </w:p>
        </w:tc>
      </w:tr>
      <w:tr w:rsidR="00263E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581" w:type="dxa"/>
            <w:shd w:val="clear" w:color="auto" w:fill="auto"/>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XTDKX202401290001</w:t>
            </w:r>
          </w:p>
        </w:tc>
        <w:tc>
          <w:tcPr>
            <w:tcW w:w="2712"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国通信托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江苏双湖集合资金信托计划第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2052"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81,413,100.00</w:t>
            </w:r>
          </w:p>
        </w:tc>
        <w:tc>
          <w:tcPr>
            <w:tcW w:w="1807"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49.51</w:t>
            </w:r>
          </w:p>
        </w:tc>
      </w:tr>
      <w:tr w:rsidR="00263E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w:t>
            </w:r>
          </w:p>
        </w:tc>
        <w:tc>
          <w:tcPr>
            <w:tcW w:w="1581" w:type="dxa"/>
            <w:shd w:val="clear" w:color="auto" w:fill="auto"/>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ZJQTT202306290002</w:t>
            </w:r>
          </w:p>
        </w:tc>
        <w:tc>
          <w:tcPr>
            <w:tcW w:w="2712"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国联基金</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鑫福</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号集合资产管理计划</w:t>
            </w:r>
          </w:p>
        </w:tc>
        <w:tc>
          <w:tcPr>
            <w:tcW w:w="2052"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48,480,419.78</w:t>
            </w:r>
          </w:p>
        </w:tc>
        <w:tc>
          <w:tcPr>
            <w:tcW w:w="1807"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29.48</w:t>
            </w:r>
          </w:p>
        </w:tc>
      </w:tr>
      <w:tr w:rsidR="00263E02">
        <w:tblPrEx>
          <w:tblBorders>
            <w:top w:val="single" w:sz="1" w:space="0" w:color="000000"/>
            <w:left w:val="single" w:sz="1" w:space="0" w:color="000000"/>
            <w:bottom w:val="single" w:sz="1" w:space="0" w:color="000000"/>
            <w:right w:val="single" w:sz="1" w:space="0" w:color="000000"/>
          </w:tblBorders>
        </w:tblPrEx>
        <w:trPr>
          <w:trHeight w:val="583"/>
          <w:jc w:val="center"/>
        </w:trPr>
        <w:tc>
          <w:tcPr>
            <w:tcW w:w="750" w:type="dxa"/>
            <w:shd w:val="clear" w:color="auto" w:fill="auto"/>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w:t>
            </w:r>
          </w:p>
        </w:tc>
        <w:tc>
          <w:tcPr>
            <w:tcW w:w="1581" w:type="dxa"/>
            <w:shd w:val="clear" w:color="auto" w:fill="auto"/>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ZJQTT202302210001</w:t>
            </w:r>
          </w:p>
        </w:tc>
        <w:tc>
          <w:tcPr>
            <w:tcW w:w="2712"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外贸信托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鑫华优享</w:t>
            </w:r>
            <w:r>
              <w:rPr>
                <w:rFonts w:ascii="方正仿宋简体" w:eastAsia="方正仿宋简体" w:hAnsi="方正仿宋简体" w:cs="方正仿宋简体"/>
                <w:sz w:val="24"/>
              </w:rPr>
              <w:t>2</w:t>
            </w:r>
            <w:r>
              <w:rPr>
                <w:rFonts w:ascii="方正仿宋简体" w:eastAsia="方正仿宋简体" w:hAnsi="方正仿宋简体" w:cs="方正仿宋简体"/>
                <w:sz w:val="24"/>
              </w:rPr>
              <w:t>号证券投资集合资金信托计划</w:t>
            </w:r>
          </w:p>
        </w:tc>
        <w:tc>
          <w:tcPr>
            <w:tcW w:w="2052"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33,191,243.22</w:t>
            </w:r>
          </w:p>
        </w:tc>
        <w:tc>
          <w:tcPr>
            <w:tcW w:w="1807" w:type="dxa"/>
            <w:shd w:val="clear" w:color="000000" w:fill="FFFFFF"/>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20.19</w:t>
            </w:r>
          </w:p>
        </w:tc>
      </w:tr>
    </w:tbl>
    <w:p w:rsidR="00263E02" w:rsidRDefault="00263E02">
      <w:pPr>
        <w:spacing w:before="240" w:after="72" w:line="360" w:lineRule="auto"/>
        <w:rPr>
          <w:rFonts w:ascii="方正仿宋_GBK" w:eastAsia="方正仿宋_GBK" w:hAnsi="宋体" w:cs="宋体"/>
          <w:sz w:val="24"/>
          <w:szCs w:val="24"/>
          <w:shd w:val="clear" w:color="auto" w:fill="FFFFFF"/>
        </w:rPr>
      </w:pPr>
    </w:p>
    <w:p w:rsidR="00263E02" w:rsidRDefault="00E07BE3">
      <w:pPr>
        <w:spacing w:before="240" w:after="72" w:line="360" w:lineRule="auto"/>
        <w:rPr>
          <w:rFonts w:ascii="方正仿宋简体" w:eastAsia="方正仿宋简体"/>
          <w:b/>
          <w:sz w:val="24"/>
          <w:szCs w:val="24"/>
        </w:rPr>
      </w:pPr>
      <w:r>
        <w:rPr>
          <w:rFonts w:ascii="方正仿宋简体" w:eastAsia="方正仿宋简体" w:hint="eastAsia"/>
          <w:b/>
          <w:sz w:val="24"/>
          <w:szCs w:val="24"/>
        </w:rPr>
        <w:t>4.3</w:t>
      </w:r>
      <w:r>
        <w:rPr>
          <w:rFonts w:ascii="方正仿宋简体" w:eastAsia="方正仿宋简体" w:hint="eastAsia"/>
          <w:b/>
          <w:sz w:val="24"/>
          <w:szCs w:val="24"/>
        </w:rPr>
        <w:t>报告期末非标准化债权类资产明细</w:t>
      </w:r>
    </w:p>
    <w:tbl>
      <w:tblPr>
        <w:tblpPr w:leftFromText="180" w:rightFromText="180" w:vertAnchor="text" w:tblpXSpec="center" w:tblpY="1"/>
        <w:tblOverlap w:val="neve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704"/>
        <w:gridCol w:w="1275"/>
        <w:gridCol w:w="1540"/>
        <w:gridCol w:w="1383"/>
        <w:gridCol w:w="1271"/>
        <w:gridCol w:w="876"/>
      </w:tblGrid>
      <w:tr w:rsidR="00263E02">
        <w:trPr>
          <w:trHeight w:val="1078"/>
          <w:jc w:val="center"/>
        </w:trPr>
        <w:tc>
          <w:tcPr>
            <w:tcW w:w="877"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704"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融资客户</w:t>
            </w:r>
          </w:p>
        </w:tc>
        <w:tc>
          <w:tcPr>
            <w:tcW w:w="1275"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项目名称</w:t>
            </w:r>
          </w:p>
        </w:tc>
        <w:tc>
          <w:tcPr>
            <w:tcW w:w="1540"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剩余融资期限（</w:t>
            </w:r>
            <w:r>
              <w:rPr>
                <w:rFonts w:ascii="方正仿宋简体" w:eastAsia="方正仿宋简体"/>
                <w:sz w:val="24"/>
                <w:szCs w:val="24"/>
              </w:rPr>
              <w:t>天）</w:t>
            </w:r>
          </w:p>
        </w:tc>
        <w:tc>
          <w:tcPr>
            <w:tcW w:w="1383"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到期收益分配</w:t>
            </w:r>
          </w:p>
        </w:tc>
        <w:tc>
          <w:tcPr>
            <w:tcW w:w="1271"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交易结构</w:t>
            </w:r>
          </w:p>
        </w:tc>
        <w:tc>
          <w:tcPr>
            <w:tcW w:w="876"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风险状况</w:t>
            </w:r>
          </w:p>
        </w:tc>
      </w:tr>
      <w:tr w:rsidR="00263E02">
        <w:tblPrEx>
          <w:tblBorders>
            <w:top w:val="single" w:sz="1" w:space="0" w:color="000000"/>
            <w:left w:val="single" w:sz="1" w:space="0" w:color="000000"/>
            <w:bottom w:val="single" w:sz="1" w:space="0" w:color="000000"/>
            <w:right w:val="single" w:sz="1" w:space="0" w:color="000000"/>
          </w:tblBorders>
        </w:tblPrEx>
        <w:trPr>
          <w:trHeight w:val="571"/>
          <w:jc w:val="center"/>
        </w:trPr>
        <w:tc>
          <w:tcPr>
            <w:tcW w:w="877"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704"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江苏双湖投资</w:t>
            </w:r>
            <w:r>
              <w:rPr>
                <w:rFonts w:ascii="方正仿宋简体" w:eastAsia="方正仿宋简体" w:hAnsi="方正仿宋简体" w:cs="方正仿宋简体"/>
                <w:sz w:val="24"/>
              </w:rPr>
              <w:lastRenderedPageBreak/>
              <w:t>控股集团有限公司</w:t>
            </w:r>
          </w:p>
        </w:tc>
        <w:tc>
          <w:tcPr>
            <w:tcW w:w="1275"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国通信</w:t>
            </w:r>
            <w:r>
              <w:rPr>
                <w:rFonts w:ascii="方正仿宋简体" w:eastAsia="方正仿宋简体" w:hAnsi="方正仿宋简体" w:cs="方正仿宋简体"/>
                <w:sz w:val="24"/>
              </w:rPr>
              <w:lastRenderedPageBreak/>
              <w:t>托</w:t>
            </w:r>
            <w:r>
              <w:rPr>
                <w:rFonts w:ascii="方正仿宋简体" w:eastAsia="方正仿宋简体" w:hAnsi="方正仿宋简体" w:cs="方正仿宋简体"/>
                <w:sz w:val="24"/>
              </w:rPr>
              <w:t>·</w:t>
            </w:r>
            <w:r>
              <w:rPr>
                <w:rFonts w:ascii="方正仿宋简体" w:eastAsia="方正仿宋简体" w:hAnsi="方正仿宋简体" w:cs="方正仿宋简体"/>
                <w:sz w:val="24"/>
              </w:rPr>
              <w:t>江苏双湖集合资金信托计划第</w:t>
            </w:r>
            <w:r>
              <w:rPr>
                <w:rFonts w:ascii="方正仿宋简体" w:eastAsia="方正仿宋简体" w:hAnsi="方正仿宋简体" w:cs="方正仿宋简体"/>
                <w:sz w:val="24"/>
              </w:rPr>
              <w:t>1</w:t>
            </w:r>
            <w:r>
              <w:rPr>
                <w:rFonts w:ascii="方正仿宋简体" w:eastAsia="方正仿宋简体" w:hAnsi="方正仿宋简体" w:cs="方正仿宋简体"/>
                <w:sz w:val="24"/>
              </w:rPr>
              <w:t>期</w:t>
            </w:r>
          </w:p>
        </w:tc>
        <w:tc>
          <w:tcPr>
            <w:tcW w:w="1540"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633</w:t>
            </w:r>
          </w:p>
        </w:tc>
        <w:tc>
          <w:tcPr>
            <w:tcW w:w="1383"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按季付息，</w:t>
            </w:r>
            <w:r>
              <w:rPr>
                <w:rFonts w:ascii="方正仿宋简体" w:eastAsia="方正仿宋简体" w:hAnsi="方正仿宋简体" w:cs="方正仿宋简体"/>
                <w:sz w:val="24"/>
              </w:rPr>
              <w:lastRenderedPageBreak/>
              <w:t>到期还本</w:t>
            </w:r>
          </w:p>
        </w:tc>
        <w:tc>
          <w:tcPr>
            <w:tcW w:w="1271"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lastRenderedPageBreak/>
              <w:t>信托贷款</w:t>
            </w:r>
          </w:p>
        </w:tc>
        <w:tc>
          <w:tcPr>
            <w:tcW w:w="876"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w:t>
            </w:r>
          </w:p>
        </w:tc>
      </w:tr>
    </w:tbl>
    <w:p w:rsidR="00263E02" w:rsidRDefault="00263E02">
      <w:pPr>
        <w:spacing w:before="240" w:after="72" w:line="360" w:lineRule="auto"/>
        <w:rPr>
          <w:rFonts w:ascii="方正仿宋_GBK" w:eastAsia="方正仿宋_GBK" w:hAnsi="宋体" w:cs="宋体"/>
          <w:sz w:val="24"/>
          <w:szCs w:val="24"/>
          <w:shd w:val="clear" w:color="auto" w:fill="FFFFFF"/>
        </w:rPr>
      </w:pPr>
    </w:p>
    <w:p w:rsidR="00263E02" w:rsidRDefault="00E07BE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5 </w:t>
      </w:r>
      <w:r>
        <w:rPr>
          <w:rFonts w:ascii="方正仿宋简体" w:eastAsia="方正仿宋简体" w:hint="eastAsia"/>
          <w:b/>
          <w:sz w:val="24"/>
          <w:szCs w:val="24"/>
        </w:rPr>
        <w:t>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417"/>
        <w:gridCol w:w="2668"/>
        <w:gridCol w:w="1983"/>
        <w:gridCol w:w="1988"/>
      </w:tblGrid>
      <w:tr w:rsidR="00263E02">
        <w:trPr>
          <w:trHeight w:val="584"/>
          <w:jc w:val="center"/>
        </w:trPr>
        <w:tc>
          <w:tcPr>
            <w:tcW w:w="846"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序号</w:t>
            </w:r>
          </w:p>
        </w:tc>
        <w:tc>
          <w:tcPr>
            <w:tcW w:w="1417"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账户类型</w:t>
            </w:r>
          </w:p>
        </w:tc>
        <w:tc>
          <w:tcPr>
            <w:tcW w:w="2668"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账号</w:t>
            </w:r>
          </w:p>
        </w:tc>
        <w:tc>
          <w:tcPr>
            <w:tcW w:w="1983"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账户名称</w:t>
            </w:r>
          </w:p>
        </w:tc>
        <w:tc>
          <w:tcPr>
            <w:tcW w:w="1988" w:type="dxa"/>
            <w:vAlign w:val="center"/>
          </w:tcPr>
          <w:p w:rsidR="00263E02" w:rsidRDefault="00E07BE3" w:rsidP="00F11B14">
            <w:pPr>
              <w:spacing w:beforeLines="20" w:afterLines="20"/>
              <w:jc w:val="center"/>
              <w:rPr>
                <w:rFonts w:ascii="方正仿宋简体" w:eastAsia="方正仿宋简体"/>
                <w:sz w:val="24"/>
                <w:szCs w:val="24"/>
              </w:rPr>
            </w:pPr>
            <w:r>
              <w:rPr>
                <w:rFonts w:ascii="方正仿宋简体" w:eastAsia="方正仿宋简体" w:hint="eastAsia"/>
                <w:sz w:val="24"/>
                <w:szCs w:val="24"/>
              </w:rPr>
              <w:t>开户单位</w:t>
            </w:r>
          </w:p>
        </w:tc>
      </w:tr>
      <w:tr w:rsidR="00263E02">
        <w:tblPrEx>
          <w:tblBorders>
            <w:top w:val="single" w:sz="1" w:space="0" w:color="000000"/>
            <w:left w:val="single" w:sz="1" w:space="0" w:color="000000"/>
            <w:bottom w:val="single" w:sz="1" w:space="0" w:color="000000"/>
            <w:right w:val="single" w:sz="1" w:space="0" w:color="000000"/>
          </w:tblBorders>
        </w:tblPrEx>
        <w:trPr>
          <w:trHeight w:val="584"/>
          <w:jc w:val="center"/>
        </w:trPr>
        <w:tc>
          <w:tcPr>
            <w:tcW w:w="846"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1</w:t>
            </w:r>
          </w:p>
        </w:tc>
        <w:tc>
          <w:tcPr>
            <w:tcW w:w="1417"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托管账户</w:t>
            </w:r>
          </w:p>
        </w:tc>
        <w:tc>
          <w:tcPr>
            <w:tcW w:w="2668"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0101030000000776</w:t>
            </w:r>
          </w:p>
        </w:tc>
        <w:tc>
          <w:tcPr>
            <w:tcW w:w="1983"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南京银行南京分行南银理财鑫逸稳两年</w:t>
            </w:r>
            <w:r>
              <w:rPr>
                <w:rFonts w:ascii="方正仿宋简体" w:eastAsia="方正仿宋简体" w:hAnsi="方正仿宋简体" w:cs="方正仿宋简体"/>
                <w:sz w:val="24"/>
              </w:rPr>
              <w:t>51</w:t>
            </w:r>
            <w:r>
              <w:rPr>
                <w:rFonts w:ascii="方正仿宋简体" w:eastAsia="方正仿宋简体" w:hAnsi="方正仿宋简体" w:cs="方正仿宋简体"/>
                <w:sz w:val="24"/>
              </w:rPr>
              <w:t>期</w:t>
            </w:r>
          </w:p>
        </w:tc>
        <w:tc>
          <w:tcPr>
            <w:tcW w:w="1988" w:type="dxa"/>
            <w:vAlign w:val="center"/>
          </w:tcPr>
          <w:p w:rsidR="00263E02" w:rsidRDefault="00E07BE3" w:rsidP="00F11B14">
            <w:pPr>
              <w:spacing w:beforeLines="20" w:afterLines="20"/>
              <w:jc w:val="center"/>
              <w:textAlignment w:val="center"/>
              <w:rPr>
                <w:rFonts w:ascii="方正仿宋简体" w:eastAsia="方正仿宋简体"/>
                <w:sz w:val="24"/>
                <w:szCs w:val="24"/>
              </w:rPr>
            </w:pPr>
            <w:r>
              <w:rPr>
                <w:rFonts w:ascii="方正仿宋简体" w:eastAsia="方正仿宋简体" w:hAnsi="方正仿宋简体" w:cs="方正仿宋简体"/>
                <w:sz w:val="24"/>
              </w:rPr>
              <w:t>南京银行</w:t>
            </w:r>
          </w:p>
        </w:tc>
      </w:tr>
    </w:tbl>
    <w:p w:rsidR="00263E02" w:rsidRDefault="00263E02">
      <w:pPr>
        <w:spacing w:afterLines="0" w:line="360" w:lineRule="auto"/>
        <w:rPr>
          <w:rFonts w:ascii="方正仿宋_GBK" w:eastAsia="方正仿宋_GBK"/>
          <w:sz w:val="24"/>
          <w:szCs w:val="24"/>
        </w:rPr>
      </w:pPr>
    </w:p>
    <w:p w:rsidR="00263E02" w:rsidRDefault="00263E02">
      <w:pPr>
        <w:spacing w:before="240" w:after="72" w:line="360" w:lineRule="auto"/>
        <w:jc w:val="center"/>
        <w:rPr>
          <w:rFonts w:ascii="方正仿宋_GBK" w:eastAsia="方正仿宋_GBK"/>
          <w:b/>
          <w:sz w:val="24"/>
          <w:szCs w:val="24"/>
        </w:rPr>
      </w:pPr>
    </w:p>
    <w:p w:rsidR="00263E02" w:rsidRDefault="00E07BE3">
      <w:pPr>
        <w:spacing w:before="240" w:after="72"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hint="eastAsia"/>
          <w:b/>
          <w:sz w:val="24"/>
          <w:szCs w:val="24"/>
        </w:rPr>
        <w:t xml:space="preserve">6 </w:t>
      </w:r>
      <w:r>
        <w:rPr>
          <w:rFonts w:ascii="方正仿宋简体" w:eastAsia="方正仿宋简体" w:hint="eastAsia"/>
          <w:b/>
          <w:sz w:val="24"/>
          <w:szCs w:val="24"/>
        </w:rPr>
        <w:t>关联交易情况</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报告期内，</w:t>
      </w:r>
      <w:r>
        <w:rPr>
          <w:rFonts w:ascii="方正仿宋简体" w:eastAsia="方正仿宋简体" w:hAnsi="宋体" w:cs="宋体" w:hint="eastAsia"/>
          <w:color w:val="000000"/>
          <w:kern w:val="0"/>
          <w:sz w:val="24"/>
          <w:szCs w:val="24"/>
        </w:rPr>
        <w:t>产品投资于关联方发行</w:t>
      </w:r>
      <w:r>
        <w:rPr>
          <w:rFonts w:ascii="方正仿宋简体" w:eastAsia="方正仿宋简体" w:hAnsi="宋体" w:cs="宋体" w:hint="eastAsia"/>
          <w:color w:val="000000"/>
          <w:kern w:val="0"/>
          <w:sz w:val="24"/>
          <w:szCs w:val="24"/>
        </w:rPr>
        <w:t>的</w:t>
      </w:r>
      <w:r>
        <w:rPr>
          <w:rFonts w:ascii="方正仿宋简体" w:eastAsia="方正仿宋简体" w:hAnsi="宋体" w:cs="宋体" w:hint="eastAsia"/>
          <w:color w:val="000000"/>
          <w:kern w:val="0"/>
          <w:sz w:val="24"/>
          <w:szCs w:val="24"/>
        </w:rPr>
        <w:t>证券</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产品投资于关联方作为融资人的非标准化债权类资产业务交易金额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产品投资于关联方承销的证券交易金额</w:t>
      </w:r>
      <w:r>
        <w:rPr>
          <w:rFonts w:ascii="方正仿宋简体" w:eastAsia="方正仿宋简体" w:hint="eastAsia"/>
          <w:sz w:val="24"/>
          <w:szCs w:val="24"/>
        </w:rPr>
        <w:t>0.00</w:t>
      </w:r>
      <w:r>
        <w:rPr>
          <w:rFonts w:ascii="方正仿宋简体" w:eastAsia="方正仿宋简体" w:hint="eastAsia"/>
          <w:sz w:val="24"/>
          <w:szCs w:val="24"/>
        </w:rPr>
        <w:t>元。</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产品与关联方作为交易对手开展的投融资业务交易金额</w:t>
      </w:r>
      <w:r>
        <w:rPr>
          <w:rFonts w:ascii="方正仿宋简体" w:eastAsia="方正仿宋简体" w:hint="eastAsia"/>
          <w:sz w:val="24"/>
          <w:szCs w:val="24"/>
        </w:rPr>
        <w:t>0.00</w:t>
      </w:r>
      <w:r>
        <w:rPr>
          <w:rFonts w:ascii="方正仿宋简体" w:eastAsia="方正仿宋简体" w:hint="eastAsia"/>
          <w:sz w:val="24"/>
          <w:szCs w:val="24"/>
        </w:rPr>
        <w:t>元。</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产品投资关联方作为管理人的资产管理产品交易金额</w:t>
      </w:r>
      <w:r>
        <w:rPr>
          <w:rFonts w:ascii="方正仿宋简体" w:eastAsia="方正仿宋简体" w:hint="eastAsia"/>
          <w:sz w:val="24"/>
          <w:szCs w:val="24"/>
        </w:rPr>
        <w:t>0.00</w:t>
      </w:r>
      <w:r>
        <w:rPr>
          <w:rFonts w:ascii="方正仿宋简体" w:eastAsia="方正仿宋简体" w:hint="eastAsia"/>
          <w:sz w:val="24"/>
          <w:szCs w:val="24"/>
        </w:rPr>
        <w:t>元。</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产品支付关联方托管费</w:t>
      </w:r>
      <w:r>
        <w:rPr>
          <w:rFonts w:ascii="方正仿宋简体" w:eastAsia="方正仿宋简体" w:hint="eastAsia"/>
          <w:sz w:val="24"/>
          <w:szCs w:val="24"/>
        </w:rPr>
        <w:t>0.00</w:t>
      </w:r>
      <w:r>
        <w:rPr>
          <w:rFonts w:ascii="方正仿宋简体" w:eastAsia="方正仿宋简体" w:hint="eastAsia"/>
          <w:sz w:val="24"/>
          <w:szCs w:val="24"/>
        </w:rPr>
        <w:t>元，支付关联方代销费</w:t>
      </w:r>
      <w:r w:rsidR="00F11B14" w:rsidRPr="00F11B14">
        <w:rPr>
          <w:rFonts w:ascii="方正仿宋简体" w:eastAsia="方正仿宋简体"/>
          <w:sz w:val="24"/>
          <w:szCs w:val="24"/>
        </w:rPr>
        <w:t>4,699.25</w:t>
      </w:r>
      <w:r>
        <w:rPr>
          <w:rFonts w:ascii="方正仿宋简体" w:eastAsia="方正仿宋简体" w:hint="eastAsia"/>
          <w:sz w:val="24"/>
          <w:szCs w:val="24"/>
        </w:rPr>
        <w:t>元。</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t>产品发生其他关联交易金额</w:t>
      </w:r>
      <w:r>
        <w:rPr>
          <w:rFonts w:ascii="方正仿宋简体" w:eastAsia="方正仿宋简体" w:hint="eastAsia"/>
          <w:sz w:val="24"/>
          <w:szCs w:val="24"/>
        </w:rPr>
        <w:t>0.00</w:t>
      </w:r>
      <w:r>
        <w:rPr>
          <w:rFonts w:ascii="方正仿宋简体" w:eastAsia="方正仿宋简体" w:hint="eastAsia"/>
          <w:sz w:val="24"/>
          <w:szCs w:val="24"/>
        </w:rPr>
        <w:t>元。</w:t>
      </w:r>
    </w:p>
    <w:p w:rsidR="00263E02" w:rsidRDefault="00E07BE3">
      <w:pPr>
        <w:spacing w:before="240" w:after="72" w:line="360" w:lineRule="auto"/>
        <w:ind w:firstLineChars="200" w:firstLine="480"/>
        <w:rPr>
          <w:rFonts w:ascii="方正仿宋简体" w:eastAsia="方正仿宋简体"/>
          <w:sz w:val="24"/>
          <w:szCs w:val="24"/>
        </w:rPr>
      </w:pPr>
      <w:r>
        <w:rPr>
          <w:rFonts w:ascii="方正仿宋简体" w:eastAsia="方正仿宋简体" w:hint="eastAsia"/>
          <w:sz w:val="24"/>
          <w:szCs w:val="24"/>
        </w:rPr>
        <w:lastRenderedPageBreak/>
        <w:t>报告期内，产品未发生重大关联交易。</w:t>
      </w:r>
    </w:p>
    <w:p w:rsidR="00263E02" w:rsidRDefault="00263E02">
      <w:pPr>
        <w:spacing w:before="240" w:after="72" w:line="360" w:lineRule="auto"/>
        <w:rPr>
          <w:rFonts w:ascii="方正仿宋_GBK" w:eastAsia="方正仿宋_GBK" w:hAnsi="宋体" w:cs="宋体"/>
          <w:kern w:val="0"/>
          <w:sz w:val="24"/>
          <w:szCs w:val="24"/>
        </w:rPr>
      </w:pPr>
    </w:p>
    <w:p w:rsidR="00263E02" w:rsidRDefault="00263E02">
      <w:pPr>
        <w:spacing w:before="240" w:after="72" w:line="360" w:lineRule="auto"/>
        <w:rPr>
          <w:rFonts w:ascii="方正仿宋_GBK" w:eastAsia="方正仿宋_GBK" w:hAnsi="宋体" w:cs="宋体"/>
          <w:kern w:val="0"/>
          <w:sz w:val="24"/>
          <w:szCs w:val="24"/>
        </w:rPr>
      </w:pPr>
    </w:p>
    <w:p w:rsidR="00263E02" w:rsidRDefault="00263E02">
      <w:pPr>
        <w:spacing w:before="240" w:after="72" w:line="360" w:lineRule="auto"/>
        <w:jc w:val="right"/>
        <w:rPr>
          <w:rFonts w:ascii="方正仿宋_GBK" w:eastAsia="方正仿宋_GBK"/>
          <w:b/>
          <w:sz w:val="24"/>
          <w:szCs w:val="24"/>
        </w:rPr>
      </w:pPr>
    </w:p>
    <w:p w:rsidR="00263E02" w:rsidRDefault="00E07BE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南银理财有限责任公司</w:t>
      </w:r>
    </w:p>
    <w:p w:rsidR="00263E02" w:rsidRDefault="00E07BE3">
      <w:pPr>
        <w:spacing w:before="240" w:after="72" w:line="360" w:lineRule="auto"/>
        <w:jc w:val="right"/>
        <w:rPr>
          <w:rFonts w:ascii="方正仿宋简体" w:eastAsia="方正仿宋简体"/>
          <w:b/>
          <w:sz w:val="24"/>
          <w:szCs w:val="24"/>
        </w:rPr>
      </w:pPr>
      <w:r>
        <w:rPr>
          <w:rFonts w:ascii="方正仿宋简体" w:eastAsia="方正仿宋简体" w:hint="eastAsia"/>
          <w:b/>
          <w:sz w:val="24"/>
          <w:szCs w:val="24"/>
        </w:rPr>
        <w:t>2024</w:t>
      </w:r>
      <w:r>
        <w:rPr>
          <w:rFonts w:ascii="方正仿宋简体" w:eastAsia="方正仿宋简体" w:hint="eastAsia"/>
          <w:b/>
          <w:sz w:val="24"/>
          <w:szCs w:val="24"/>
        </w:rPr>
        <w:t>年</w:t>
      </w:r>
      <w:r>
        <w:rPr>
          <w:rFonts w:ascii="方正仿宋简体" w:eastAsia="方正仿宋简体" w:hint="eastAsia"/>
          <w:b/>
          <w:sz w:val="24"/>
          <w:szCs w:val="24"/>
        </w:rPr>
        <w:t>03</w:t>
      </w:r>
      <w:r>
        <w:rPr>
          <w:rFonts w:ascii="方正仿宋简体" w:eastAsia="方正仿宋简体" w:hint="eastAsia"/>
          <w:b/>
          <w:sz w:val="24"/>
          <w:szCs w:val="24"/>
        </w:rPr>
        <w:t>月</w:t>
      </w:r>
      <w:r>
        <w:rPr>
          <w:rFonts w:ascii="方正仿宋简体" w:eastAsia="方正仿宋简体" w:hint="eastAsia"/>
          <w:b/>
          <w:sz w:val="24"/>
          <w:szCs w:val="24"/>
        </w:rPr>
        <w:t>31</w:t>
      </w:r>
      <w:r>
        <w:rPr>
          <w:rFonts w:ascii="方正仿宋简体" w:eastAsia="方正仿宋简体" w:hint="eastAsia"/>
          <w:b/>
          <w:sz w:val="24"/>
          <w:szCs w:val="24"/>
        </w:rPr>
        <w:t>日</w:t>
      </w:r>
    </w:p>
    <w:p w:rsidR="00263E02" w:rsidRDefault="00263E02">
      <w:pPr>
        <w:spacing w:before="240" w:after="72" w:line="360" w:lineRule="auto"/>
        <w:rPr>
          <w:rFonts w:ascii="方正仿宋_GBK" w:eastAsia="方正仿宋_GBK"/>
          <w:sz w:val="24"/>
          <w:szCs w:val="24"/>
        </w:rPr>
      </w:pPr>
    </w:p>
    <w:p w:rsidR="00263E02" w:rsidRDefault="00263E02">
      <w:pPr>
        <w:spacing w:before="240" w:after="72" w:line="360" w:lineRule="auto"/>
        <w:rPr>
          <w:rFonts w:ascii="方正仿宋_GBK" w:eastAsia="方正仿宋_GBK"/>
          <w:sz w:val="24"/>
          <w:szCs w:val="24"/>
        </w:rPr>
      </w:pPr>
    </w:p>
    <w:sectPr w:rsidR="00263E02" w:rsidSect="00263E02">
      <w:headerReference w:type="even" r:id="rId7"/>
      <w:headerReference w:type="default" r:id="rId8"/>
      <w:footerReference w:type="even" r:id="rId9"/>
      <w:footerReference w:type="default" r:id="rId10"/>
      <w:headerReference w:type="first" r:id="rId11"/>
      <w:footerReference w:type="first" r:id="rId12"/>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BE3" w:rsidRDefault="00E07BE3" w:rsidP="00F11B14">
      <w:pPr>
        <w:spacing w:after="72"/>
      </w:pPr>
      <w:r>
        <w:separator/>
      </w:r>
    </w:p>
  </w:endnote>
  <w:endnote w:type="continuationSeparator" w:id="1">
    <w:p w:rsidR="00E07BE3" w:rsidRDefault="00E07BE3" w:rsidP="00F11B14">
      <w:pPr>
        <w:spacing w:after="72"/>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仿宋简体">
    <w:altName w:val="Arial Unicode MS"/>
    <w:charset w:val="86"/>
    <w:family w:val="script"/>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02" w:rsidRDefault="00263E02">
    <w:pPr>
      <w:pStyle w:val="a3"/>
      <w:framePr w:wrap="around" w:vAnchor="text" w:hAnchor="margin" w:xAlign="center" w:y="1"/>
      <w:spacing w:after="72"/>
      <w:rPr>
        <w:rStyle w:val="a6"/>
      </w:rPr>
    </w:pPr>
    <w:r>
      <w:fldChar w:fldCharType="begin"/>
    </w:r>
    <w:r w:rsidR="00E07BE3">
      <w:rPr>
        <w:rStyle w:val="a6"/>
      </w:rPr>
      <w:instrText xml:space="preserve">PAGE  </w:instrText>
    </w:r>
    <w:r>
      <w:fldChar w:fldCharType="end"/>
    </w:r>
  </w:p>
  <w:p w:rsidR="00263E02" w:rsidRDefault="00263E02">
    <w:pPr>
      <w:pStyle w:val="a3"/>
      <w:spacing w:after="7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02" w:rsidRDefault="00263E02">
    <w:pPr>
      <w:pStyle w:val="a3"/>
      <w:spacing w:after="7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02" w:rsidRDefault="00263E02">
    <w:pPr>
      <w:pStyle w:val="a3"/>
      <w:spacing w:after="7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BE3" w:rsidRDefault="00E07BE3" w:rsidP="00F11B14">
      <w:pPr>
        <w:spacing w:after="72"/>
      </w:pPr>
      <w:r>
        <w:separator/>
      </w:r>
    </w:p>
  </w:footnote>
  <w:footnote w:type="continuationSeparator" w:id="1">
    <w:p w:rsidR="00E07BE3" w:rsidRDefault="00E07BE3" w:rsidP="00F11B14">
      <w:pPr>
        <w:spacing w:after="7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02" w:rsidRDefault="00263E02">
    <w:pPr>
      <w:pStyle w:val="a4"/>
      <w:spacing w:after="7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02" w:rsidRDefault="00263E02">
    <w:pPr>
      <w:pStyle w:val="a4"/>
      <w:spacing w:after="7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E02" w:rsidRDefault="00263E02">
    <w:pPr>
      <w:pStyle w:val="a4"/>
      <w:spacing w:after="7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63E02"/>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BE3"/>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1B14"/>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E02"/>
    <w:pPr>
      <w:widowControl w:val="0"/>
      <w:spacing w:afterLines="3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63E02"/>
    <w:pPr>
      <w:tabs>
        <w:tab w:val="center" w:pos="4153"/>
        <w:tab w:val="right" w:pos="8306"/>
      </w:tabs>
      <w:snapToGrid w:val="0"/>
      <w:jc w:val="left"/>
    </w:pPr>
    <w:rPr>
      <w:rFonts w:eastAsiaTheme="minorEastAsia"/>
      <w:sz w:val="18"/>
      <w:szCs w:val="18"/>
    </w:rPr>
  </w:style>
  <w:style w:type="paragraph" w:styleId="a4">
    <w:name w:val="header"/>
    <w:basedOn w:val="a"/>
    <w:link w:val="Char0"/>
    <w:uiPriority w:val="99"/>
    <w:unhideWhenUsed/>
    <w:qFormat/>
    <w:rsid w:val="00263E02"/>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263E02"/>
    <w:pPr>
      <w:widowControl/>
      <w:spacing w:before="100" w:beforeAutospacing="1" w:after="100" w:afterAutospacing="1"/>
      <w:jc w:val="left"/>
    </w:pPr>
    <w:rPr>
      <w:rFonts w:ascii="宋体" w:hAnsi="宋体"/>
      <w:kern w:val="0"/>
      <w:sz w:val="24"/>
      <w:szCs w:val="24"/>
    </w:rPr>
  </w:style>
  <w:style w:type="character" w:styleId="a6">
    <w:name w:val="page number"/>
    <w:basedOn w:val="a0"/>
    <w:uiPriority w:val="99"/>
    <w:unhideWhenUsed/>
    <w:qFormat/>
    <w:rsid w:val="00263E02"/>
  </w:style>
  <w:style w:type="character" w:customStyle="1" w:styleId="Char">
    <w:name w:val="页脚 Char"/>
    <w:link w:val="a3"/>
    <w:uiPriority w:val="99"/>
    <w:qFormat/>
    <w:locked/>
    <w:rsid w:val="00263E02"/>
    <w:rPr>
      <w:rFonts w:ascii="Times New Roman" w:hAnsi="Times New Roman" w:cs="Times New Roman"/>
      <w:sz w:val="18"/>
      <w:szCs w:val="18"/>
    </w:rPr>
  </w:style>
  <w:style w:type="character" w:customStyle="1" w:styleId="Char1">
    <w:name w:val="页脚 Char1"/>
    <w:basedOn w:val="a0"/>
    <w:uiPriority w:val="99"/>
    <w:semiHidden/>
    <w:qFormat/>
    <w:rsid w:val="00263E02"/>
    <w:rPr>
      <w:rFonts w:ascii="Times New Roman" w:eastAsia="宋体" w:hAnsi="Times New Roman" w:cs="Times New Roman"/>
      <w:sz w:val="18"/>
      <w:szCs w:val="18"/>
    </w:rPr>
  </w:style>
  <w:style w:type="paragraph" w:customStyle="1" w:styleId="biaogeleft">
    <w:name w:val="biaoge_left"/>
    <w:basedOn w:val="a"/>
    <w:qFormat/>
    <w:rsid w:val="00263E0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2">
    <w:name w:val="zhangjie_p2"/>
    <w:basedOn w:val="a"/>
    <w:qFormat/>
    <w:rsid w:val="00263E02"/>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biaogecenter">
    <w:name w:val="biaoge_center"/>
    <w:basedOn w:val="a"/>
    <w:qFormat/>
    <w:rsid w:val="00263E02"/>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dazhangjie">
    <w:name w:val="dazhangjie"/>
    <w:basedOn w:val="a"/>
    <w:qFormat/>
    <w:rsid w:val="00263E02"/>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
    <w:name w:val="正文1"/>
    <w:qFormat/>
    <w:rsid w:val="00263E02"/>
    <w:pPr>
      <w:jc w:val="both"/>
    </w:pPr>
    <w:rPr>
      <w:rFonts w:ascii="Times New Roman" w:eastAsia="宋体" w:hAnsi="Times New Roman" w:cs="Times New Roman"/>
      <w:kern w:val="2"/>
      <w:sz w:val="21"/>
      <w:szCs w:val="21"/>
    </w:rPr>
  </w:style>
  <w:style w:type="paragraph" w:customStyle="1" w:styleId="biaogeright">
    <w:name w:val="biaoge_right"/>
    <w:basedOn w:val="a"/>
    <w:qFormat/>
    <w:rsid w:val="00263E02"/>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neirong">
    <w:name w:val="neirong"/>
    <w:basedOn w:val="a"/>
    <w:qFormat/>
    <w:rsid w:val="00263E02"/>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zhangjiep">
    <w:name w:val="zhangjie_p"/>
    <w:basedOn w:val="a"/>
    <w:qFormat/>
    <w:rsid w:val="00263E02"/>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Default">
    <w:name w:val="Default"/>
    <w:qFormat/>
    <w:rsid w:val="00263E02"/>
    <w:pPr>
      <w:widowControl w:val="0"/>
      <w:autoSpaceDE w:val="0"/>
      <w:autoSpaceDN w:val="0"/>
      <w:adjustRightInd w:val="0"/>
    </w:pPr>
    <w:rPr>
      <w:rFonts w:ascii="宋体" w:eastAsia="宋体" w:hAnsi="Times New Roman" w:cs="宋体"/>
      <w:color w:val="000000"/>
      <w:sz w:val="24"/>
      <w:szCs w:val="24"/>
    </w:rPr>
  </w:style>
  <w:style w:type="character" w:customStyle="1" w:styleId="Char0">
    <w:name w:val="页眉 Char"/>
    <w:basedOn w:val="a0"/>
    <w:link w:val="a4"/>
    <w:uiPriority w:val="99"/>
    <w:qFormat/>
    <w:rsid w:val="00263E0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714038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395</Words>
  <Characters>2256</Characters>
  <Application>Microsoft Office Word</Application>
  <DocSecurity>0</DocSecurity>
  <Lines>18</Lines>
  <Paragraphs>5</Paragraphs>
  <ScaleCrop>false</ScaleCrop>
  <Company>cc</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演示人</dc:creator>
  <cp:lastModifiedBy>糜格宇</cp:lastModifiedBy>
  <cp:revision>117</cp:revision>
  <dcterms:created xsi:type="dcterms:W3CDTF">2022-08-03T07:42:00Z</dcterms:created>
  <dcterms:modified xsi:type="dcterms:W3CDTF">2024-04-16T02:37:00Z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