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南银理财珠联璧合鑫逸稳一年126期封闭式公募人民币理财产品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南银理财珠联璧合鑫逸稳一年126期封闭式公募人民币理财产品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Z7003223000139（投资者可依据该编码在中国理财网www.chinawealth.com.cn查询理财产品相关信息）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1,332,362,380.00份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330,827,963.91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488,437,932.47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367,342,333.48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182,021,328.31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截至报告期末，本产品Y30126份额净值为1.0265元，Y31126份额净值为1.0271元，Y32126份额净值为1.0278元，Y33126份额净值为1.0285元。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438,334,533.51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275,093,954.35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23881865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23连云城建22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23881850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23海鸿投资08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23881833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23富港集团06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23881949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23钟楼新城04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23881834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23铜山城投05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富港建设集团有限公司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23富港集团06</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江苏海鸿投资控股集团有限公司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23海鸿投资08</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按半年付息，到期还本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连云港市城建控股集团有限公司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23连云城建22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徐州市铜山区城市建设投资有限责任公司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23铜山城投05</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常州钟楼新城投资建设有限公司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23钟楼新城04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0101050000000619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南京银行南京分行南银理财鑫逸稳一年126期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产品支付关联方托管费0.00元，支付关联方代销费208,998.17元。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