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0F6" w:rsidRDefault="00B370F6">
      <w:pPr>
        <w:spacing w:before="240" w:after="72" w:line="360" w:lineRule="auto"/>
        <w:rPr>
          <w:rFonts w:asciiTheme="minorEastAsia" w:eastAsiaTheme="minorEastAsia" w:hAnsiTheme="minorEastAsia"/>
        </w:rPr>
      </w:pPr>
    </w:p>
    <w:p w:rsidR="00B370F6" w:rsidRDefault="00B370F6">
      <w:pPr>
        <w:spacing w:before="240" w:after="72" w:line="360" w:lineRule="auto"/>
        <w:rPr>
          <w:rFonts w:asciiTheme="minorEastAsia" w:eastAsiaTheme="minorEastAsia" w:hAnsiTheme="minorEastAsia"/>
        </w:rPr>
      </w:pPr>
    </w:p>
    <w:p w:rsidR="00B370F6" w:rsidRDefault="00B370F6">
      <w:pPr>
        <w:spacing w:before="240" w:after="72" w:line="360" w:lineRule="auto"/>
        <w:rPr>
          <w:rFonts w:asciiTheme="minorEastAsia" w:eastAsiaTheme="minorEastAsia" w:hAnsiTheme="minorEastAsia"/>
        </w:rPr>
      </w:pPr>
    </w:p>
    <w:p w:rsidR="00B370F6" w:rsidRDefault="00C8374F">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南银理财珠联璧合鑫逸稳增强两年</w:t>
      </w:r>
      <w:r>
        <w:rPr>
          <w:rFonts w:ascii="方正黑体简体" w:eastAsia="方正黑体简体" w:hAnsi="Calibri" w:hint="eastAsia"/>
          <w:sz w:val="36"/>
        </w:rPr>
        <w:t>61</w:t>
      </w:r>
      <w:r>
        <w:rPr>
          <w:rFonts w:ascii="方正黑体简体" w:eastAsia="方正黑体简体" w:hAnsi="Calibri" w:hint="eastAsia"/>
          <w:sz w:val="36"/>
        </w:rPr>
        <w:t>期封闭式公募人民币理财产品</w:t>
      </w:r>
    </w:p>
    <w:p w:rsidR="00B370F6" w:rsidRDefault="00C8374F">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B370F6" w:rsidRDefault="00B370F6">
      <w:pPr>
        <w:spacing w:before="240" w:after="72" w:line="360" w:lineRule="auto"/>
        <w:jc w:val="center"/>
        <w:rPr>
          <w:rFonts w:ascii="方正黑体简体" w:eastAsia="方正黑体简体"/>
          <w:sz w:val="36"/>
          <w:szCs w:val="36"/>
        </w:rPr>
      </w:pPr>
    </w:p>
    <w:p w:rsidR="00B370F6" w:rsidRDefault="00B370F6">
      <w:pPr>
        <w:spacing w:before="240" w:after="72" w:line="360" w:lineRule="auto"/>
        <w:jc w:val="center"/>
        <w:rPr>
          <w:rFonts w:ascii="方正黑体简体" w:eastAsia="方正黑体简体"/>
          <w:sz w:val="36"/>
          <w:szCs w:val="36"/>
        </w:rPr>
      </w:pPr>
    </w:p>
    <w:p w:rsidR="00B370F6" w:rsidRDefault="00B370F6">
      <w:pPr>
        <w:spacing w:before="240" w:after="72" w:line="360" w:lineRule="auto"/>
        <w:jc w:val="center"/>
        <w:rPr>
          <w:rFonts w:ascii="方正黑体简体" w:eastAsia="方正黑体简体"/>
          <w:sz w:val="36"/>
          <w:szCs w:val="36"/>
        </w:rPr>
      </w:pPr>
    </w:p>
    <w:p w:rsidR="00B370F6" w:rsidRDefault="00B370F6">
      <w:pPr>
        <w:spacing w:before="240" w:after="72" w:line="360" w:lineRule="auto"/>
        <w:jc w:val="center"/>
        <w:rPr>
          <w:rFonts w:ascii="方正黑体简体" w:eastAsia="方正黑体简体"/>
          <w:sz w:val="36"/>
          <w:szCs w:val="36"/>
        </w:rPr>
      </w:pPr>
    </w:p>
    <w:p w:rsidR="00B370F6" w:rsidRDefault="00C8374F">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B370F6" w:rsidRDefault="00C8374F">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B370F6" w:rsidRDefault="00B370F6">
      <w:pPr>
        <w:spacing w:before="240" w:after="72" w:line="360" w:lineRule="auto"/>
        <w:rPr>
          <w:rFonts w:ascii="方正黑体简体" w:eastAsia="方正黑体简体"/>
          <w:sz w:val="36"/>
          <w:szCs w:val="36"/>
        </w:rPr>
      </w:pPr>
    </w:p>
    <w:p w:rsidR="00B370F6" w:rsidRDefault="00B370F6">
      <w:pPr>
        <w:spacing w:before="240" w:after="72" w:line="360" w:lineRule="auto"/>
        <w:rPr>
          <w:rFonts w:ascii="方正黑体简体" w:eastAsia="方正黑体简体"/>
          <w:sz w:val="36"/>
          <w:szCs w:val="36"/>
        </w:rPr>
      </w:pPr>
    </w:p>
    <w:p w:rsidR="00B370F6" w:rsidRDefault="00C8374F">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B370F6" w:rsidRDefault="00C8374F">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B370F6" w:rsidTr="00265388">
        <w:trPr>
          <w:trHeight w:val="714"/>
          <w:jc w:val="center"/>
        </w:trPr>
        <w:tc>
          <w:tcPr>
            <w:tcW w:w="2719" w:type="dxa"/>
            <w:vAlign w:val="center"/>
          </w:tcPr>
          <w:p w:rsidR="00B370F6" w:rsidRDefault="00C8374F" w:rsidP="00265388">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B370F6" w:rsidRDefault="00C8374F" w:rsidP="00265388">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南银理财珠联璧合鑫逸稳增强两年</w:t>
            </w:r>
            <w:r>
              <w:rPr>
                <w:rFonts w:ascii="方正仿宋简体" w:eastAsia="方正仿宋简体" w:hint="eastAsia"/>
                <w:sz w:val="24"/>
                <w:szCs w:val="24"/>
              </w:rPr>
              <w:t>61</w:t>
            </w:r>
            <w:r>
              <w:rPr>
                <w:rFonts w:ascii="方正仿宋简体" w:eastAsia="方正仿宋简体" w:hint="eastAsia"/>
                <w:sz w:val="24"/>
                <w:szCs w:val="24"/>
              </w:rPr>
              <w:t>期封闭式公募人民币理财产品</w:t>
            </w:r>
          </w:p>
        </w:tc>
      </w:tr>
      <w:tr w:rsidR="00B370F6" w:rsidTr="00265388">
        <w:trPr>
          <w:trHeight w:val="1300"/>
          <w:jc w:val="center"/>
        </w:trPr>
        <w:tc>
          <w:tcPr>
            <w:tcW w:w="2719" w:type="dxa"/>
            <w:vAlign w:val="center"/>
          </w:tcPr>
          <w:p w:rsidR="00B370F6" w:rsidRDefault="00C8374F" w:rsidP="00265388">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B370F6" w:rsidRDefault="00C8374F" w:rsidP="00265388">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Z7003223000144</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B370F6" w:rsidTr="00265388">
        <w:trPr>
          <w:trHeight w:val="714"/>
          <w:jc w:val="center"/>
        </w:trPr>
        <w:tc>
          <w:tcPr>
            <w:tcW w:w="2719" w:type="dxa"/>
            <w:vAlign w:val="center"/>
          </w:tcPr>
          <w:p w:rsidR="00B370F6" w:rsidRDefault="00C8374F" w:rsidP="00265388">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B370F6" w:rsidRDefault="00C8374F" w:rsidP="00265388">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B370F6" w:rsidTr="00265388">
        <w:trPr>
          <w:trHeight w:val="714"/>
          <w:jc w:val="center"/>
        </w:trPr>
        <w:tc>
          <w:tcPr>
            <w:tcW w:w="2719" w:type="dxa"/>
            <w:vAlign w:val="center"/>
          </w:tcPr>
          <w:p w:rsidR="00B370F6" w:rsidRDefault="00C8374F" w:rsidP="00265388">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B370F6" w:rsidRDefault="00C8374F" w:rsidP="00265388">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08</w:t>
            </w:r>
            <w:r>
              <w:rPr>
                <w:rFonts w:ascii="方正仿宋简体" w:eastAsia="方正仿宋简体" w:hint="eastAsia"/>
                <w:sz w:val="24"/>
                <w:szCs w:val="24"/>
              </w:rPr>
              <w:t>月</w:t>
            </w:r>
            <w:r>
              <w:rPr>
                <w:rFonts w:ascii="方正仿宋简体" w:eastAsia="方正仿宋简体" w:hint="eastAsia"/>
                <w:sz w:val="24"/>
                <w:szCs w:val="24"/>
              </w:rPr>
              <w:t>16</w:t>
            </w:r>
            <w:r>
              <w:rPr>
                <w:rFonts w:ascii="方正仿宋简体" w:eastAsia="方正仿宋简体" w:hint="eastAsia"/>
                <w:sz w:val="24"/>
                <w:szCs w:val="24"/>
              </w:rPr>
              <w:t>日</w:t>
            </w:r>
          </w:p>
        </w:tc>
      </w:tr>
      <w:tr w:rsidR="00B370F6" w:rsidTr="00265388">
        <w:trPr>
          <w:trHeight w:val="714"/>
          <w:jc w:val="center"/>
        </w:trPr>
        <w:tc>
          <w:tcPr>
            <w:tcW w:w="2719" w:type="dxa"/>
            <w:vAlign w:val="center"/>
          </w:tcPr>
          <w:p w:rsidR="00B370F6" w:rsidRDefault="00C8374F" w:rsidP="00265388">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B370F6" w:rsidRDefault="00C8374F" w:rsidP="00265388">
            <w:pPr>
              <w:spacing w:beforeLines="20" w:afterLines="20"/>
              <w:jc w:val="left"/>
              <w:rPr>
                <w:rFonts w:ascii="方正仿宋简体" w:eastAsia="方正仿宋简体"/>
                <w:sz w:val="24"/>
                <w:szCs w:val="24"/>
              </w:rPr>
            </w:pPr>
            <w:r>
              <w:rPr>
                <w:rFonts w:ascii="方正仿宋简体" w:eastAsia="方正仿宋简体" w:hint="eastAsia"/>
                <w:sz w:val="24"/>
                <w:szCs w:val="24"/>
              </w:rPr>
              <w:t>125,852,934.00</w:t>
            </w:r>
            <w:r>
              <w:rPr>
                <w:rFonts w:ascii="方正仿宋简体" w:eastAsia="方正仿宋简体" w:hint="eastAsia"/>
                <w:sz w:val="24"/>
                <w:szCs w:val="24"/>
              </w:rPr>
              <w:t>份</w:t>
            </w:r>
          </w:p>
        </w:tc>
      </w:tr>
      <w:tr w:rsidR="00B370F6" w:rsidTr="00265388">
        <w:trPr>
          <w:trHeight w:val="688"/>
          <w:jc w:val="center"/>
        </w:trPr>
        <w:tc>
          <w:tcPr>
            <w:tcW w:w="2719" w:type="dxa"/>
            <w:vAlign w:val="center"/>
          </w:tcPr>
          <w:p w:rsidR="00B370F6" w:rsidRDefault="00C8374F" w:rsidP="00265388">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B370F6" w:rsidRDefault="00C8374F" w:rsidP="00265388">
            <w:pPr>
              <w:spacing w:beforeLines="20" w:afterLines="20"/>
              <w:jc w:val="left"/>
              <w:rPr>
                <w:rFonts w:ascii="方正仿宋简体" w:eastAsia="方正仿宋简体"/>
                <w:sz w:val="24"/>
                <w:szCs w:val="24"/>
              </w:rPr>
            </w:pPr>
            <w:r>
              <w:rPr>
                <w:rFonts w:ascii="方正仿宋简体" w:eastAsia="方正仿宋简体" w:hint="eastAsia"/>
                <w:sz w:val="24"/>
                <w:szCs w:val="24"/>
              </w:rPr>
              <w:t>西部信托有限公司</w:t>
            </w:r>
            <w:r>
              <w:rPr>
                <w:rFonts w:ascii="方正仿宋简体" w:eastAsia="方正仿宋简体" w:hint="eastAsia"/>
                <w:sz w:val="24"/>
                <w:szCs w:val="24"/>
              </w:rPr>
              <w:t>,</w:t>
            </w:r>
            <w:r>
              <w:rPr>
                <w:rFonts w:ascii="方正仿宋简体" w:eastAsia="方正仿宋简体" w:hint="eastAsia"/>
                <w:sz w:val="24"/>
                <w:szCs w:val="24"/>
              </w:rPr>
              <w:t>广东粤财信托有限公司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B370F6" w:rsidTr="00265388">
        <w:trPr>
          <w:trHeight w:val="714"/>
          <w:jc w:val="center"/>
        </w:trPr>
        <w:tc>
          <w:tcPr>
            <w:tcW w:w="2719" w:type="dxa"/>
            <w:vAlign w:val="center"/>
          </w:tcPr>
          <w:p w:rsidR="00B370F6" w:rsidRDefault="00C8374F" w:rsidP="00265388">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B370F6" w:rsidRDefault="00C8374F" w:rsidP="00265388">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B370F6" w:rsidTr="00265388">
        <w:trPr>
          <w:trHeight w:val="714"/>
          <w:jc w:val="center"/>
        </w:trPr>
        <w:tc>
          <w:tcPr>
            <w:tcW w:w="2719" w:type="dxa"/>
            <w:vAlign w:val="center"/>
          </w:tcPr>
          <w:p w:rsidR="00B370F6" w:rsidRDefault="00C8374F" w:rsidP="00265388">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B370F6" w:rsidRDefault="00C8374F" w:rsidP="00265388">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B370F6" w:rsidRDefault="00B370F6">
      <w:pPr>
        <w:spacing w:before="240" w:after="72" w:line="360" w:lineRule="auto"/>
        <w:rPr>
          <w:rFonts w:ascii="方正仿宋_GBK" w:eastAsia="方正仿宋_GBK" w:hAnsi="宋体" w:cs="宋体"/>
          <w:kern w:val="0"/>
          <w:sz w:val="24"/>
          <w:szCs w:val="24"/>
        </w:rPr>
      </w:pPr>
    </w:p>
    <w:p w:rsidR="00B370F6" w:rsidRDefault="00C8374F">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B370F6" w:rsidRDefault="00C8374F">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B370F6" w:rsidRDefault="00C8374F">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B370F6">
        <w:trPr>
          <w:trHeight w:val="699"/>
          <w:jc w:val="center"/>
        </w:trPr>
        <w:tc>
          <w:tcPr>
            <w:tcW w:w="1838" w:type="dxa"/>
            <w:vMerge w:val="restart"/>
            <w:vAlign w:val="center"/>
          </w:tcPr>
          <w:p w:rsidR="00B370F6" w:rsidRDefault="00C8374F" w:rsidP="00265388">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B370F6" w:rsidRDefault="00C8374F" w:rsidP="00265388">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B370F6">
        <w:trPr>
          <w:trHeight w:val="1697"/>
          <w:jc w:val="center"/>
        </w:trPr>
        <w:tc>
          <w:tcPr>
            <w:tcW w:w="1838" w:type="dxa"/>
            <w:vMerge/>
            <w:vAlign w:val="center"/>
          </w:tcPr>
          <w:p w:rsidR="00B370F6" w:rsidRDefault="00B370F6" w:rsidP="00265388">
            <w:pPr>
              <w:spacing w:beforeLines="20" w:afterLines="20"/>
              <w:jc w:val="center"/>
              <w:rPr>
                <w:rFonts w:ascii="方正仿宋简体" w:eastAsia="方正仿宋简体"/>
                <w:sz w:val="24"/>
                <w:szCs w:val="24"/>
              </w:rPr>
            </w:pPr>
          </w:p>
        </w:tc>
        <w:tc>
          <w:tcPr>
            <w:tcW w:w="2693" w:type="dxa"/>
            <w:vAlign w:val="center"/>
          </w:tcPr>
          <w:p w:rsidR="00B370F6" w:rsidRDefault="00C8374F" w:rsidP="00265388">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B370F6" w:rsidRDefault="00C8374F" w:rsidP="00265388">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B370F6" w:rsidRDefault="00C8374F" w:rsidP="00265388">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B370F6">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B370F6" w:rsidRDefault="00C8374F" w:rsidP="002653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Y40061</w:t>
            </w:r>
          </w:p>
        </w:tc>
        <w:tc>
          <w:tcPr>
            <w:tcW w:w="2693" w:type="dxa"/>
            <w:vAlign w:val="center"/>
          </w:tcPr>
          <w:p w:rsidR="00B370F6" w:rsidRDefault="00C8374F" w:rsidP="002653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58,695,479.97</w:t>
            </w:r>
          </w:p>
        </w:tc>
        <w:tc>
          <w:tcPr>
            <w:tcW w:w="2410" w:type="dxa"/>
            <w:vAlign w:val="center"/>
          </w:tcPr>
          <w:p w:rsidR="00B370F6" w:rsidRDefault="00C8374F" w:rsidP="002653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1.0179</w:t>
            </w:r>
          </w:p>
        </w:tc>
        <w:tc>
          <w:tcPr>
            <w:tcW w:w="2126" w:type="dxa"/>
            <w:vAlign w:val="center"/>
          </w:tcPr>
          <w:p w:rsidR="00B370F6" w:rsidRDefault="00C8374F" w:rsidP="002653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1.0179</w:t>
            </w:r>
          </w:p>
        </w:tc>
      </w:tr>
      <w:tr w:rsidR="00B370F6">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B370F6" w:rsidRDefault="00C8374F" w:rsidP="002653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Y41061</w:t>
            </w:r>
          </w:p>
        </w:tc>
        <w:tc>
          <w:tcPr>
            <w:tcW w:w="2693" w:type="dxa"/>
            <w:vAlign w:val="center"/>
          </w:tcPr>
          <w:p w:rsidR="00B370F6" w:rsidRDefault="00C8374F" w:rsidP="002653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39,421,218.07</w:t>
            </w:r>
          </w:p>
        </w:tc>
        <w:tc>
          <w:tcPr>
            <w:tcW w:w="2410" w:type="dxa"/>
            <w:vAlign w:val="center"/>
          </w:tcPr>
          <w:p w:rsidR="00B370F6" w:rsidRDefault="00C8374F" w:rsidP="002653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1.0192</w:t>
            </w:r>
          </w:p>
        </w:tc>
        <w:tc>
          <w:tcPr>
            <w:tcW w:w="2126" w:type="dxa"/>
            <w:vAlign w:val="center"/>
          </w:tcPr>
          <w:p w:rsidR="00B370F6" w:rsidRDefault="00C8374F" w:rsidP="002653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1.0192</w:t>
            </w:r>
          </w:p>
        </w:tc>
      </w:tr>
      <w:tr w:rsidR="00B370F6">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B370F6" w:rsidRDefault="00C8374F" w:rsidP="002653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Y42061</w:t>
            </w:r>
          </w:p>
        </w:tc>
        <w:tc>
          <w:tcPr>
            <w:tcW w:w="2693" w:type="dxa"/>
            <w:vAlign w:val="center"/>
          </w:tcPr>
          <w:p w:rsidR="00B370F6" w:rsidRDefault="00C8374F" w:rsidP="002653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30,079,999.94</w:t>
            </w:r>
          </w:p>
        </w:tc>
        <w:tc>
          <w:tcPr>
            <w:tcW w:w="2410" w:type="dxa"/>
            <w:vAlign w:val="center"/>
          </w:tcPr>
          <w:p w:rsidR="00B370F6" w:rsidRDefault="00C8374F" w:rsidP="002653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1.0192</w:t>
            </w:r>
          </w:p>
        </w:tc>
        <w:tc>
          <w:tcPr>
            <w:tcW w:w="2126" w:type="dxa"/>
            <w:vAlign w:val="center"/>
          </w:tcPr>
          <w:p w:rsidR="00B370F6" w:rsidRDefault="00C8374F" w:rsidP="002653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1.0192</w:t>
            </w:r>
          </w:p>
        </w:tc>
      </w:tr>
    </w:tbl>
    <w:p w:rsidR="00B370F6" w:rsidRDefault="00C8374F">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370F6" w:rsidRDefault="00B370F6">
      <w:pPr>
        <w:spacing w:before="240" w:after="72" w:line="360" w:lineRule="auto"/>
        <w:rPr>
          <w:rFonts w:ascii="方正仿宋_GBK" w:eastAsia="方正仿宋_GBK"/>
          <w:sz w:val="24"/>
          <w:szCs w:val="24"/>
        </w:rPr>
      </w:pPr>
    </w:p>
    <w:p w:rsidR="00B370F6" w:rsidRDefault="00C8374F">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B370F6" w:rsidRDefault="00C8374F">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B370F6" w:rsidRDefault="00C8374F">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  一季度逆周期调控政策有所加码，意在托底经济、稳定需求，一定程度呵护市场情绪。央行在</w:t>
      </w:r>
      <w:r>
        <w:rPr>
          <w:rFonts w:ascii="方正仿宋简体" w:eastAsia="方正仿宋简体" w:hint="eastAsia"/>
          <w:sz w:val="24"/>
          <w:szCs w:val="24"/>
        </w:rPr>
        <w:t>2</w:t>
      </w:r>
      <w:r>
        <w:rPr>
          <w:rFonts w:ascii="方正仿宋简体" w:eastAsia="方正仿宋简体" w:hint="eastAsia"/>
          <w:sz w:val="24"/>
          <w:szCs w:val="24"/>
        </w:rPr>
        <w:t>月不对称下调</w:t>
      </w:r>
      <w:r>
        <w:rPr>
          <w:rFonts w:ascii="方正仿宋简体" w:eastAsia="方正仿宋简体" w:hint="eastAsia"/>
          <w:sz w:val="24"/>
          <w:szCs w:val="24"/>
        </w:rPr>
        <w:t>5</w:t>
      </w:r>
      <w:r>
        <w:rPr>
          <w:rFonts w:ascii="方正仿宋简体" w:eastAsia="方正仿宋简体" w:hint="eastAsia"/>
          <w:sz w:val="24"/>
          <w:szCs w:val="24"/>
        </w:rPr>
        <w:t>年期以上</w:t>
      </w:r>
      <w:r>
        <w:rPr>
          <w:rFonts w:ascii="方正仿宋简体" w:eastAsia="方正仿宋简体" w:hint="eastAsia"/>
          <w:sz w:val="24"/>
          <w:szCs w:val="24"/>
        </w:rPr>
        <w:t>LPR</w:t>
      </w:r>
      <w:r>
        <w:rPr>
          <w:rFonts w:ascii="方正仿宋简体" w:eastAsia="方正仿宋简体" w:hint="eastAsia"/>
          <w:sz w:val="24"/>
          <w:szCs w:val="24"/>
        </w:rPr>
        <w:t>报价</w:t>
      </w:r>
      <w:r>
        <w:rPr>
          <w:rFonts w:ascii="方正仿宋简体" w:eastAsia="方正仿宋简体" w:hint="eastAsia"/>
          <w:sz w:val="24"/>
          <w:szCs w:val="24"/>
        </w:rPr>
        <w:t>25</w:t>
      </w:r>
      <w:r>
        <w:rPr>
          <w:rFonts w:ascii="方正仿宋简体" w:eastAsia="方正仿宋简体" w:hint="eastAsia"/>
          <w:sz w:val="24"/>
          <w:szCs w:val="24"/>
        </w:rPr>
        <w:t>个基点，中央在扩赤字规模的同时新增</w:t>
      </w:r>
      <w:r>
        <w:rPr>
          <w:rFonts w:ascii="方正仿宋简体" w:eastAsia="方正仿宋简体" w:hint="eastAsia"/>
          <w:sz w:val="24"/>
          <w:szCs w:val="24"/>
        </w:rPr>
        <w:t>1</w:t>
      </w:r>
      <w:r>
        <w:rPr>
          <w:rFonts w:ascii="方正仿宋简体" w:eastAsia="方正仿宋简体" w:hint="eastAsia"/>
          <w:sz w:val="24"/>
          <w:szCs w:val="24"/>
        </w:rPr>
        <w:t>万亿特别国债并拟延续数年。此外，截至今年</w:t>
      </w:r>
      <w:r>
        <w:rPr>
          <w:rFonts w:ascii="方正仿宋简体" w:eastAsia="方正仿宋简体" w:hint="eastAsia"/>
          <w:sz w:val="24"/>
          <w:szCs w:val="24"/>
        </w:rPr>
        <w:t>2</w:t>
      </w:r>
      <w:r>
        <w:rPr>
          <w:rFonts w:ascii="方正仿宋简体" w:eastAsia="方正仿宋简体" w:hint="eastAsia"/>
          <w:sz w:val="24"/>
          <w:szCs w:val="24"/>
        </w:rPr>
        <w:t>月初，去年</w:t>
      </w:r>
      <w:r>
        <w:rPr>
          <w:rFonts w:ascii="方正仿宋简体" w:eastAsia="方正仿宋简体" w:hint="eastAsia"/>
          <w:sz w:val="24"/>
          <w:szCs w:val="24"/>
        </w:rPr>
        <w:t>1</w:t>
      </w:r>
      <w:r>
        <w:rPr>
          <w:rFonts w:ascii="方正仿宋简体" w:eastAsia="方正仿宋简体" w:hint="eastAsia"/>
          <w:sz w:val="24"/>
          <w:szCs w:val="24"/>
        </w:rPr>
        <w:t>万亿元增发国债项目已全部下达完毕，再加上去年</w:t>
      </w:r>
      <w:r>
        <w:rPr>
          <w:rFonts w:ascii="方正仿宋简体" w:eastAsia="方正仿宋简体" w:hint="eastAsia"/>
          <w:sz w:val="24"/>
          <w:szCs w:val="24"/>
        </w:rPr>
        <w:t>12</w:t>
      </w:r>
      <w:r>
        <w:rPr>
          <w:rFonts w:ascii="方正仿宋简体" w:eastAsia="方正仿宋简体" w:hint="eastAsia"/>
          <w:sz w:val="24"/>
          <w:szCs w:val="24"/>
        </w:rPr>
        <w:t>月至今年</w:t>
      </w:r>
      <w:r>
        <w:rPr>
          <w:rFonts w:ascii="方正仿宋简体" w:eastAsia="方正仿宋简体" w:hint="eastAsia"/>
          <w:sz w:val="24"/>
          <w:szCs w:val="24"/>
        </w:rPr>
        <w:t>1</w:t>
      </w:r>
      <w:r>
        <w:rPr>
          <w:rFonts w:ascii="方正仿宋简体" w:eastAsia="方正仿宋简体" w:hint="eastAsia"/>
          <w:sz w:val="24"/>
          <w:szCs w:val="24"/>
        </w:rPr>
        <w:t>月央行新增的</w:t>
      </w:r>
      <w:r>
        <w:rPr>
          <w:rFonts w:ascii="方正仿宋简体" w:eastAsia="方正仿宋简体" w:hint="eastAsia"/>
          <w:sz w:val="24"/>
          <w:szCs w:val="24"/>
        </w:rPr>
        <w:t>5</w:t>
      </w:r>
      <w:r>
        <w:rPr>
          <w:rFonts w:ascii="方正仿宋简体" w:eastAsia="方正仿宋简体" w:hint="eastAsia"/>
          <w:sz w:val="24"/>
          <w:szCs w:val="24"/>
        </w:rPr>
        <w:t>，</w:t>
      </w:r>
      <w:r>
        <w:rPr>
          <w:rFonts w:ascii="方正仿宋简体" w:eastAsia="方正仿宋简体" w:hint="eastAsia"/>
          <w:sz w:val="24"/>
          <w:szCs w:val="24"/>
        </w:rPr>
        <w:t>000</w:t>
      </w:r>
      <w:r>
        <w:rPr>
          <w:rFonts w:ascii="方正仿宋简体" w:eastAsia="方正仿宋简体" w:hint="eastAsia"/>
          <w:sz w:val="24"/>
          <w:szCs w:val="24"/>
        </w:rPr>
        <w:t>亿元</w:t>
      </w:r>
      <w:r>
        <w:rPr>
          <w:rFonts w:ascii="方正仿宋简体" w:eastAsia="方正仿宋简体" w:hint="eastAsia"/>
          <w:sz w:val="24"/>
          <w:szCs w:val="24"/>
        </w:rPr>
        <w:t>PSL</w:t>
      </w:r>
      <w:r>
        <w:rPr>
          <w:rFonts w:ascii="方正仿宋简体" w:eastAsia="方正仿宋简体" w:hint="eastAsia"/>
          <w:sz w:val="24"/>
          <w:szCs w:val="24"/>
        </w:rPr>
        <w:t>资金陆续投放，对企业中长期融资的拉动较为明显。权益市场方面，一季度整体呈现</w:t>
      </w:r>
      <w:r>
        <w:rPr>
          <w:rFonts w:ascii="方正仿宋简体" w:eastAsia="方正仿宋简体" w:hint="eastAsia"/>
          <w:sz w:val="24"/>
          <w:szCs w:val="24"/>
        </w:rPr>
        <w:t>V</w:t>
      </w:r>
      <w:r>
        <w:rPr>
          <w:rFonts w:ascii="方正仿宋简体" w:eastAsia="方正仿宋简体" w:hint="eastAsia"/>
          <w:sz w:val="24"/>
          <w:szCs w:val="24"/>
        </w:rPr>
        <w:t>型修复走势，年初由于量化私募策略集中在小微市值个股，下跌过程中陆续出发止损，导致出现卖出踩踏造成的流动性危机，直至中央汇金开始申购中</w:t>
      </w:r>
      <w:r>
        <w:rPr>
          <w:rFonts w:ascii="方正仿宋简体" w:eastAsia="方正仿宋简体" w:hint="eastAsia"/>
          <w:sz w:val="24"/>
          <w:szCs w:val="24"/>
        </w:rPr>
        <w:t>证</w:t>
      </w:r>
      <w:r>
        <w:rPr>
          <w:rFonts w:ascii="方正仿宋简体" w:eastAsia="方正仿宋简体" w:hint="eastAsia"/>
          <w:sz w:val="24"/>
          <w:szCs w:val="24"/>
        </w:rPr>
        <w:t>500ETF</w:t>
      </w:r>
      <w:r>
        <w:rPr>
          <w:rFonts w:ascii="方正仿宋简体" w:eastAsia="方正仿宋简体" w:hint="eastAsia"/>
          <w:sz w:val="24"/>
          <w:szCs w:val="24"/>
        </w:rPr>
        <w:t>和中证</w:t>
      </w:r>
      <w:r>
        <w:rPr>
          <w:rFonts w:ascii="方正仿宋简体" w:eastAsia="方正仿宋简体" w:hint="eastAsia"/>
          <w:sz w:val="24"/>
          <w:szCs w:val="24"/>
        </w:rPr>
        <w:t>1000ETF</w:t>
      </w:r>
      <w:r>
        <w:rPr>
          <w:rFonts w:ascii="方正仿宋简体" w:eastAsia="方正仿宋简体" w:hint="eastAsia"/>
          <w:sz w:val="24"/>
          <w:szCs w:val="24"/>
        </w:rPr>
        <w:t>之后，流动性危机缓解，权益市场出现明显的触底反弹行情，截止一季度末沪深</w:t>
      </w:r>
      <w:r>
        <w:rPr>
          <w:rFonts w:ascii="方正仿宋简体" w:eastAsia="方正仿宋简体" w:hint="eastAsia"/>
          <w:sz w:val="24"/>
          <w:szCs w:val="24"/>
        </w:rPr>
        <w:t>300</w:t>
      </w:r>
      <w:r>
        <w:rPr>
          <w:rFonts w:ascii="方正仿宋简体" w:eastAsia="方正仿宋简体" w:hint="eastAsia"/>
          <w:sz w:val="24"/>
          <w:szCs w:val="24"/>
        </w:rPr>
        <w:t>和上证综指均实现正收益。债券市场方面，由于基本面数据好转还需观察，同时地产销售数据在一系列限购政策放松后仍未有明显起色，市场仍然一直博弈未来的降息降准空间，故债市多头情绪浓厚，</w:t>
      </w:r>
      <w:r>
        <w:rPr>
          <w:rFonts w:ascii="方正仿宋简体" w:eastAsia="方正仿宋简体" w:hint="eastAsia"/>
          <w:sz w:val="24"/>
          <w:szCs w:val="24"/>
        </w:rPr>
        <w:t>30</w:t>
      </w:r>
      <w:r>
        <w:rPr>
          <w:rFonts w:ascii="方正仿宋简体" w:eastAsia="方正仿宋简体" w:hint="eastAsia"/>
          <w:sz w:val="24"/>
          <w:szCs w:val="24"/>
        </w:rPr>
        <w:t>年国债一度低于</w:t>
      </w:r>
      <w:r>
        <w:rPr>
          <w:rFonts w:ascii="方正仿宋简体" w:eastAsia="方正仿宋简体" w:hint="eastAsia"/>
          <w:sz w:val="24"/>
          <w:szCs w:val="24"/>
        </w:rPr>
        <w:t>2.45%</w:t>
      </w:r>
      <w:r>
        <w:rPr>
          <w:rFonts w:ascii="方正仿宋简体" w:eastAsia="方正仿宋简体" w:hint="eastAsia"/>
          <w:sz w:val="24"/>
          <w:szCs w:val="24"/>
        </w:rPr>
        <w:t>，</w:t>
      </w:r>
      <w:r>
        <w:rPr>
          <w:rFonts w:ascii="方正仿宋简体" w:eastAsia="方正仿宋简体" w:hint="eastAsia"/>
          <w:sz w:val="24"/>
          <w:szCs w:val="24"/>
        </w:rPr>
        <w:t>10</w:t>
      </w:r>
      <w:r>
        <w:rPr>
          <w:rFonts w:ascii="方正仿宋简体" w:eastAsia="方正仿宋简体" w:hint="eastAsia"/>
          <w:sz w:val="24"/>
          <w:szCs w:val="24"/>
        </w:rPr>
        <w:t>年国债一度低于</w:t>
      </w:r>
      <w:r>
        <w:rPr>
          <w:rFonts w:ascii="方正仿宋简体" w:eastAsia="方正仿宋简体" w:hint="eastAsia"/>
          <w:sz w:val="24"/>
          <w:szCs w:val="24"/>
        </w:rPr>
        <w:t>2.25%</w:t>
      </w:r>
      <w:r>
        <w:rPr>
          <w:rFonts w:ascii="方正仿宋简体" w:eastAsia="方正仿宋简体" w:hint="eastAsia"/>
          <w:sz w:val="24"/>
          <w:szCs w:val="24"/>
        </w:rPr>
        <w:t>，提前定价未来降息预期。整体看，</w:t>
      </w:r>
      <w:r>
        <w:rPr>
          <w:rFonts w:ascii="方正仿宋简体" w:eastAsia="方正仿宋简体" w:hint="eastAsia"/>
          <w:sz w:val="24"/>
          <w:szCs w:val="24"/>
        </w:rPr>
        <w:t>2024</w:t>
      </w:r>
      <w:r>
        <w:rPr>
          <w:rFonts w:ascii="方正仿宋简体" w:eastAsia="方正仿宋简体" w:hint="eastAsia"/>
          <w:sz w:val="24"/>
          <w:szCs w:val="24"/>
        </w:rPr>
        <w:t>年一季度呈现股债均走强局面。</w:t>
      </w:r>
      <w:r>
        <w:rPr>
          <w:rFonts w:ascii="方正仿宋简体" w:eastAsia="方正仿宋简体" w:hint="eastAsia"/>
          <w:sz w:val="24"/>
          <w:szCs w:val="24"/>
        </w:rPr>
        <w:br w:type="textWrapping" w:clear="all"/>
      </w:r>
      <w:r>
        <w:rPr>
          <w:rFonts w:ascii="方正仿宋简体" w:eastAsia="方正仿宋简体" w:hint="eastAsia"/>
          <w:sz w:val="24"/>
          <w:szCs w:val="24"/>
        </w:rPr>
        <w:t>  展望</w:t>
      </w:r>
      <w:r>
        <w:rPr>
          <w:rFonts w:ascii="方正仿宋简体" w:eastAsia="方正仿宋简体" w:hint="eastAsia"/>
          <w:sz w:val="24"/>
          <w:szCs w:val="24"/>
        </w:rPr>
        <w:t>2024</w:t>
      </w:r>
      <w:r>
        <w:rPr>
          <w:rFonts w:ascii="方正仿宋简体" w:eastAsia="方正仿宋简体" w:hint="eastAsia"/>
          <w:sz w:val="24"/>
          <w:szCs w:val="24"/>
        </w:rPr>
        <w:t>年二季度，权益市场触底回升后，绝对估值、交易活跃度、情绪指标均回到正常区间，春季躁动行情中超跌反弹和拔估值的两大动能已接近尾声，后续需要等</w:t>
      </w:r>
      <w:r>
        <w:rPr>
          <w:rFonts w:ascii="方正仿宋简体" w:eastAsia="方正仿宋简体" w:hint="eastAsia"/>
          <w:sz w:val="24"/>
          <w:szCs w:val="24"/>
        </w:rPr>
        <w:lastRenderedPageBreak/>
        <w:t>待</w:t>
      </w:r>
      <w:r>
        <w:rPr>
          <w:rFonts w:ascii="方正仿宋简体" w:eastAsia="方正仿宋简体" w:hint="eastAsia"/>
          <w:sz w:val="24"/>
          <w:szCs w:val="24"/>
        </w:rPr>
        <w:t>4</w:t>
      </w:r>
      <w:r>
        <w:rPr>
          <w:rFonts w:ascii="方正仿宋简体" w:eastAsia="方正仿宋简体" w:hint="eastAsia"/>
          <w:sz w:val="24"/>
          <w:szCs w:val="24"/>
        </w:rPr>
        <w:t>月一季报驱动的基本面行情，短期市场可能面临止盈情绪扰动。风格方面，在低增速的大环境下，现金分红稳定的行业预计有望持续享受提估值行情。债券方面，在缺乏增量利多信息的背景下，曲线长端预计会经历一段横盘震荡行情。当前信用债短端利差保护相对更充分，利率债震荡行情下，信用债考虑哑铃型配置策略，短端关注租赁、城投、金控等票息资产，中长端关注中高等级央国企债和企业永</w:t>
      </w:r>
      <w:r>
        <w:rPr>
          <w:rFonts w:ascii="方正仿宋简体" w:eastAsia="方正仿宋简体" w:hint="eastAsia"/>
          <w:sz w:val="24"/>
          <w:szCs w:val="24"/>
        </w:rPr>
        <w:t>续债。整体看，经济基本面未发生明显变化，对债市仍偏有利，债市方向未改，但前期交易盘浮盈较厚的背景下，短期市场波动可能加大，后续可能需要资金价格下行、存款利率下调等为收益率进一步下行打开空间。</w:t>
      </w:r>
      <w:r>
        <w:rPr>
          <w:rFonts w:ascii="方正仿宋简体" w:eastAsia="方正仿宋简体" w:hint="eastAsia"/>
          <w:sz w:val="24"/>
          <w:szCs w:val="24"/>
        </w:rPr>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  本产品为中长期封闭式产品，在运作期内我们积极根据市场变化动态调整杠杆、久期策略和权益仓位。在一季度权益市场</w:t>
      </w:r>
      <w:r>
        <w:rPr>
          <w:rFonts w:ascii="方正仿宋简体" w:eastAsia="方正仿宋简体" w:hint="eastAsia"/>
          <w:sz w:val="24"/>
          <w:szCs w:val="24"/>
        </w:rPr>
        <w:t>V</w:t>
      </w:r>
      <w:r>
        <w:rPr>
          <w:rFonts w:ascii="方正仿宋简体" w:eastAsia="方正仿宋简体" w:hint="eastAsia"/>
          <w:sz w:val="24"/>
          <w:szCs w:val="24"/>
        </w:rPr>
        <w:t>型反弹期间，我们根据各期产品剩余期限，逐步进行降仓操作；在债市多头情绪浓厚的情况下，我们谨慎控制组合控制杠杆和久期水平，以应对债市的回调。整体而言，产品层面仍会坚持大类资产配置策略。</w:t>
      </w:r>
    </w:p>
    <w:p w:rsidR="00B370F6" w:rsidRDefault="00C8374F">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w:t>
      </w:r>
      <w:r>
        <w:rPr>
          <w:rFonts w:ascii="方正仿宋简体" w:eastAsia="方正仿宋简体" w:hint="eastAsia"/>
          <w:b/>
          <w:sz w:val="24"/>
          <w:szCs w:val="24"/>
        </w:rPr>
        <w:t>动性风险分析</w:t>
      </w:r>
    </w:p>
    <w:p w:rsidR="00B370F6" w:rsidRDefault="00C8374F">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B370F6" w:rsidRDefault="00C8374F">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B370F6" w:rsidRDefault="00C8374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Y40061</w:t>
      </w:r>
      <w:r>
        <w:rPr>
          <w:rFonts w:ascii="方正仿宋简体" w:eastAsia="方正仿宋简体" w:hint="eastAsia"/>
          <w:sz w:val="24"/>
          <w:szCs w:val="24"/>
        </w:rPr>
        <w:t>份额净值为</w:t>
      </w:r>
      <w:r>
        <w:rPr>
          <w:rFonts w:ascii="方正仿宋简体" w:eastAsia="方正仿宋简体" w:hint="eastAsia"/>
          <w:sz w:val="24"/>
          <w:szCs w:val="24"/>
        </w:rPr>
        <w:t>1.0179</w:t>
      </w:r>
      <w:r>
        <w:rPr>
          <w:rFonts w:ascii="方正仿宋简体" w:eastAsia="方正仿宋简体" w:hint="eastAsia"/>
          <w:sz w:val="24"/>
          <w:szCs w:val="24"/>
        </w:rPr>
        <w:t>元，</w:t>
      </w:r>
      <w:r>
        <w:rPr>
          <w:rFonts w:ascii="方正仿宋简体" w:eastAsia="方正仿宋简体" w:hint="eastAsia"/>
          <w:sz w:val="24"/>
          <w:szCs w:val="24"/>
        </w:rPr>
        <w:t>Y41061</w:t>
      </w:r>
      <w:r>
        <w:rPr>
          <w:rFonts w:ascii="方正仿宋简体" w:eastAsia="方正仿宋简体" w:hint="eastAsia"/>
          <w:sz w:val="24"/>
          <w:szCs w:val="24"/>
        </w:rPr>
        <w:t>份额净值为</w:t>
      </w:r>
      <w:r>
        <w:rPr>
          <w:rFonts w:ascii="方正仿宋简体" w:eastAsia="方正仿宋简体" w:hint="eastAsia"/>
          <w:sz w:val="24"/>
          <w:szCs w:val="24"/>
        </w:rPr>
        <w:t>1.0191</w:t>
      </w:r>
      <w:r>
        <w:rPr>
          <w:rFonts w:ascii="方正仿宋简体" w:eastAsia="方正仿宋简体" w:hint="eastAsia"/>
          <w:sz w:val="24"/>
          <w:szCs w:val="24"/>
        </w:rPr>
        <w:t>元，</w:t>
      </w:r>
      <w:r>
        <w:rPr>
          <w:rFonts w:ascii="方正仿宋简体" w:eastAsia="方正仿宋简体" w:hint="eastAsia"/>
          <w:sz w:val="24"/>
          <w:szCs w:val="24"/>
        </w:rPr>
        <w:t>Y42061</w:t>
      </w:r>
      <w:r>
        <w:rPr>
          <w:rFonts w:ascii="方正仿宋简体" w:eastAsia="方正仿宋简体" w:hint="eastAsia"/>
          <w:sz w:val="24"/>
          <w:szCs w:val="24"/>
        </w:rPr>
        <w:t>份额净值为</w:t>
      </w:r>
      <w:r>
        <w:rPr>
          <w:rFonts w:ascii="方正仿宋简体" w:eastAsia="方正仿宋简体" w:hint="eastAsia"/>
          <w:sz w:val="24"/>
          <w:szCs w:val="24"/>
        </w:rPr>
        <w:t>1.0191</w:t>
      </w:r>
      <w:r>
        <w:rPr>
          <w:rFonts w:ascii="方正仿宋简体" w:eastAsia="方正仿宋简体" w:hint="eastAsia"/>
          <w:sz w:val="24"/>
          <w:szCs w:val="24"/>
        </w:rPr>
        <w:t>元。</w:t>
      </w:r>
    </w:p>
    <w:p w:rsidR="00B370F6" w:rsidRDefault="00B370F6">
      <w:pPr>
        <w:spacing w:before="240" w:after="72" w:line="360" w:lineRule="auto"/>
        <w:rPr>
          <w:rFonts w:ascii="方正仿宋_GBK" w:eastAsia="方正仿宋_GBK" w:hAnsi="宋体"/>
          <w:sz w:val="24"/>
          <w:szCs w:val="24"/>
        </w:rPr>
      </w:pPr>
    </w:p>
    <w:p w:rsidR="00B370F6" w:rsidRDefault="00C8374F">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B370F6" w:rsidRDefault="00C8374F">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B370F6">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B370F6" w:rsidRDefault="00C8374F" w:rsidP="00265388">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B370F6" w:rsidRDefault="00C8374F" w:rsidP="00265388">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B370F6" w:rsidRDefault="00C8374F" w:rsidP="00265388">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B370F6" w:rsidRDefault="00C8374F" w:rsidP="00265388">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B370F6">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B370F6" w:rsidRDefault="00C8374F" w:rsidP="00265388">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B370F6" w:rsidRDefault="00C8374F" w:rsidP="00265388">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B370F6" w:rsidRDefault="00C8374F" w:rsidP="00265388">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B370F6" w:rsidRDefault="00C8374F" w:rsidP="00265388">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r w:rsidR="00B370F6">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B370F6" w:rsidRDefault="00C8374F" w:rsidP="00265388">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B370F6" w:rsidRDefault="00C8374F" w:rsidP="00265388">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B370F6" w:rsidRDefault="00C8374F" w:rsidP="00265388">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B370F6" w:rsidRDefault="00C8374F" w:rsidP="00265388">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B370F6">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B370F6" w:rsidRDefault="00C8374F" w:rsidP="00265388">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B370F6" w:rsidRDefault="00C8374F" w:rsidP="00265388">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B370F6" w:rsidRDefault="00C8374F" w:rsidP="00265388">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B370F6" w:rsidRDefault="00C8374F" w:rsidP="00265388">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B370F6">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B370F6" w:rsidRDefault="00C8374F" w:rsidP="00265388">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B370F6" w:rsidRDefault="00C8374F" w:rsidP="00265388">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B370F6" w:rsidRDefault="00C8374F" w:rsidP="00265388">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B370F6" w:rsidRDefault="00C8374F" w:rsidP="00265388">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B370F6">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B370F6" w:rsidRDefault="00C8374F" w:rsidP="00265388">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B370F6" w:rsidRDefault="00C8374F" w:rsidP="00265388">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B370F6" w:rsidRDefault="00C8374F" w:rsidP="00265388">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B370F6" w:rsidRDefault="00C8374F" w:rsidP="00265388">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B370F6" w:rsidRDefault="00B370F6">
      <w:pPr>
        <w:spacing w:before="240" w:after="72" w:line="360" w:lineRule="auto"/>
        <w:rPr>
          <w:rFonts w:ascii="方正仿宋_GBK" w:eastAsia="方正仿宋_GBK"/>
          <w:sz w:val="24"/>
          <w:szCs w:val="24"/>
        </w:rPr>
      </w:pPr>
    </w:p>
    <w:p w:rsidR="00B370F6" w:rsidRDefault="00C8374F">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B370F6">
        <w:trPr>
          <w:trHeight w:val="1233"/>
          <w:jc w:val="center"/>
        </w:trPr>
        <w:tc>
          <w:tcPr>
            <w:tcW w:w="750" w:type="dxa"/>
            <w:vAlign w:val="center"/>
          </w:tcPr>
          <w:p w:rsidR="00B370F6" w:rsidRDefault="00C8374F" w:rsidP="00265388">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B370F6" w:rsidRDefault="00C8374F" w:rsidP="00265388">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B370F6" w:rsidRDefault="00C8374F" w:rsidP="00265388">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B370F6" w:rsidRDefault="00C8374F" w:rsidP="00265388">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B370F6" w:rsidRDefault="00C8374F" w:rsidP="00265388">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B370F6">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B370F6" w:rsidRDefault="00C8374F" w:rsidP="002653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B370F6" w:rsidRDefault="00C8374F" w:rsidP="002653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ZJQTT202305080001</w:t>
            </w:r>
          </w:p>
        </w:tc>
        <w:tc>
          <w:tcPr>
            <w:tcW w:w="2712" w:type="dxa"/>
            <w:shd w:val="clear" w:color="000000" w:fill="FFFFFF"/>
            <w:vAlign w:val="center"/>
          </w:tcPr>
          <w:p w:rsidR="00B370F6" w:rsidRDefault="00C8374F" w:rsidP="002653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B370F6" w:rsidRDefault="00C8374F" w:rsidP="002653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65,401,657.95</w:t>
            </w:r>
          </w:p>
        </w:tc>
        <w:tc>
          <w:tcPr>
            <w:tcW w:w="1807" w:type="dxa"/>
            <w:shd w:val="clear" w:color="000000" w:fill="FFFFFF"/>
            <w:vAlign w:val="center"/>
          </w:tcPr>
          <w:p w:rsidR="00B370F6" w:rsidRDefault="00C8374F" w:rsidP="002653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51.02</w:t>
            </w:r>
          </w:p>
        </w:tc>
      </w:tr>
      <w:tr w:rsidR="00B370F6">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B370F6" w:rsidRDefault="00C8374F" w:rsidP="002653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B370F6" w:rsidRDefault="00C8374F" w:rsidP="002653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XTDKX202311010022</w:t>
            </w:r>
          </w:p>
        </w:tc>
        <w:tc>
          <w:tcPr>
            <w:tcW w:w="2712" w:type="dxa"/>
            <w:shd w:val="clear" w:color="000000" w:fill="FFFFFF"/>
            <w:vAlign w:val="center"/>
          </w:tcPr>
          <w:p w:rsidR="00B370F6" w:rsidRDefault="00C8374F" w:rsidP="002653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瑞彭</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号集合资金信托计划（</w:t>
            </w:r>
            <w:r>
              <w:rPr>
                <w:rFonts w:ascii="方正仿宋简体" w:eastAsia="方正仿宋简体" w:hAnsi="方正仿宋简体" w:cs="方正仿宋简体"/>
                <w:sz w:val="24"/>
              </w:rPr>
              <w:t>B</w:t>
            </w:r>
            <w:r>
              <w:rPr>
                <w:rFonts w:ascii="方正仿宋简体" w:eastAsia="方正仿宋简体" w:hAnsi="方正仿宋简体" w:cs="方正仿宋简体"/>
                <w:sz w:val="24"/>
              </w:rPr>
              <w:t>类）</w:t>
            </w:r>
          </w:p>
        </w:tc>
        <w:tc>
          <w:tcPr>
            <w:tcW w:w="2052" w:type="dxa"/>
            <w:shd w:val="clear" w:color="000000" w:fill="FFFFFF"/>
            <w:vAlign w:val="center"/>
          </w:tcPr>
          <w:p w:rsidR="00B370F6" w:rsidRDefault="00C8374F" w:rsidP="002653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41,647,800.00</w:t>
            </w:r>
          </w:p>
        </w:tc>
        <w:tc>
          <w:tcPr>
            <w:tcW w:w="1807" w:type="dxa"/>
            <w:shd w:val="clear" w:color="000000" w:fill="FFFFFF"/>
            <w:vAlign w:val="center"/>
          </w:tcPr>
          <w:p w:rsidR="00B370F6" w:rsidRDefault="00C8374F" w:rsidP="002653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32.49</w:t>
            </w:r>
          </w:p>
        </w:tc>
      </w:tr>
      <w:tr w:rsidR="00B370F6">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B370F6" w:rsidRDefault="00C8374F" w:rsidP="002653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B370F6" w:rsidRDefault="00C8374F" w:rsidP="002653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XTDKX202309150022</w:t>
            </w:r>
          </w:p>
        </w:tc>
        <w:tc>
          <w:tcPr>
            <w:tcW w:w="2712" w:type="dxa"/>
            <w:shd w:val="clear" w:color="000000" w:fill="FFFFFF"/>
            <w:vAlign w:val="center"/>
          </w:tcPr>
          <w:p w:rsidR="00B370F6" w:rsidRDefault="00C8374F" w:rsidP="002653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粤财信托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永禄</w:t>
            </w:r>
            <w:r>
              <w:rPr>
                <w:rFonts w:ascii="方正仿宋简体" w:eastAsia="方正仿宋简体" w:hAnsi="方正仿宋简体" w:cs="方正仿宋简体"/>
                <w:sz w:val="24"/>
              </w:rPr>
              <w:t>16</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B370F6" w:rsidRDefault="00C8374F" w:rsidP="002653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20,464,000.00</w:t>
            </w:r>
          </w:p>
        </w:tc>
        <w:tc>
          <w:tcPr>
            <w:tcW w:w="1807" w:type="dxa"/>
            <w:shd w:val="clear" w:color="000000" w:fill="FFFFFF"/>
            <w:vAlign w:val="center"/>
          </w:tcPr>
          <w:p w:rsidR="00B370F6" w:rsidRDefault="00C8374F" w:rsidP="002653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15.96</w:t>
            </w:r>
          </w:p>
        </w:tc>
      </w:tr>
    </w:tbl>
    <w:p w:rsidR="00B370F6" w:rsidRDefault="00B370F6">
      <w:pPr>
        <w:spacing w:before="240" w:after="72" w:line="360" w:lineRule="auto"/>
        <w:rPr>
          <w:rFonts w:ascii="方正仿宋_GBK" w:eastAsia="方正仿宋_GBK" w:hAnsi="宋体" w:cs="宋体"/>
          <w:sz w:val="24"/>
          <w:szCs w:val="24"/>
          <w:shd w:val="clear" w:color="auto" w:fill="FFFFFF"/>
        </w:rPr>
      </w:pPr>
    </w:p>
    <w:p w:rsidR="00B370F6" w:rsidRDefault="00C8374F">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B370F6">
        <w:trPr>
          <w:trHeight w:val="1078"/>
          <w:jc w:val="center"/>
        </w:trPr>
        <w:tc>
          <w:tcPr>
            <w:tcW w:w="877" w:type="dxa"/>
            <w:vAlign w:val="center"/>
          </w:tcPr>
          <w:p w:rsidR="00B370F6" w:rsidRDefault="00C8374F" w:rsidP="00265388">
            <w:pPr>
              <w:spacing w:beforeLines="20" w:afterLines="20"/>
              <w:jc w:val="center"/>
              <w:rPr>
                <w:rFonts w:ascii="方正仿宋简体" w:eastAsia="方正仿宋简体"/>
                <w:sz w:val="24"/>
                <w:szCs w:val="24"/>
              </w:rPr>
            </w:pPr>
            <w:r>
              <w:rPr>
                <w:rFonts w:ascii="方正仿宋简体" w:eastAsia="方正仿宋简体" w:hint="eastAsia"/>
                <w:sz w:val="24"/>
                <w:szCs w:val="24"/>
              </w:rPr>
              <w:lastRenderedPageBreak/>
              <w:t>序号</w:t>
            </w:r>
          </w:p>
        </w:tc>
        <w:tc>
          <w:tcPr>
            <w:tcW w:w="1704" w:type="dxa"/>
            <w:vAlign w:val="center"/>
          </w:tcPr>
          <w:p w:rsidR="00B370F6" w:rsidRDefault="00C8374F" w:rsidP="00265388">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B370F6" w:rsidRDefault="00C8374F" w:rsidP="00265388">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B370F6" w:rsidRDefault="00C8374F" w:rsidP="00265388">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B370F6" w:rsidRDefault="00C8374F" w:rsidP="00265388">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B370F6" w:rsidRDefault="00C8374F" w:rsidP="00265388">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B370F6" w:rsidRDefault="00C8374F" w:rsidP="00265388">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B370F6">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B370F6" w:rsidRDefault="00C8374F" w:rsidP="002653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B370F6" w:rsidRDefault="00C8374F" w:rsidP="002653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徐州高新技术产业开发区国有资产经营有限公司</w:t>
            </w:r>
          </w:p>
        </w:tc>
        <w:tc>
          <w:tcPr>
            <w:tcW w:w="1275" w:type="dxa"/>
            <w:vAlign w:val="center"/>
          </w:tcPr>
          <w:p w:rsidR="00B370F6" w:rsidRDefault="00C8374F" w:rsidP="002653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瑞彭</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号集合资金信托计划（</w:t>
            </w:r>
            <w:r>
              <w:rPr>
                <w:rFonts w:ascii="方正仿宋简体" w:eastAsia="方正仿宋简体" w:hAnsi="方正仿宋简体" w:cs="方正仿宋简体"/>
                <w:sz w:val="24"/>
              </w:rPr>
              <w:t>B</w:t>
            </w:r>
            <w:r>
              <w:rPr>
                <w:rFonts w:ascii="方正仿宋简体" w:eastAsia="方正仿宋简体" w:hAnsi="方正仿宋简体" w:cs="方正仿宋简体"/>
                <w:sz w:val="24"/>
              </w:rPr>
              <w:t>类）</w:t>
            </w:r>
          </w:p>
        </w:tc>
        <w:tc>
          <w:tcPr>
            <w:tcW w:w="1540" w:type="dxa"/>
            <w:vAlign w:val="center"/>
          </w:tcPr>
          <w:p w:rsidR="00B370F6" w:rsidRDefault="00C8374F" w:rsidP="002653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512</w:t>
            </w:r>
          </w:p>
        </w:tc>
        <w:tc>
          <w:tcPr>
            <w:tcW w:w="1383" w:type="dxa"/>
            <w:vAlign w:val="center"/>
          </w:tcPr>
          <w:p w:rsidR="00B370F6" w:rsidRDefault="00C8374F" w:rsidP="002653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B370F6" w:rsidRDefault="00C8374F" w:rsidP="002653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B370F6" w:rsidRDefault="00C8374F" w:rsidP="002653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B370F6">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B370F6" w:rsidRDefault="00C8374F" w:rsidP="002653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704" w:type="dxa"/>
            <w:vAlign w:val="center"/>
          </w:tcPr>
          <w:p w:rsidR="00B370F6" w:rsidRDefault="00C8374F" w:rsidP="002653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浙江网商银行股份有限公司</w:t>
            </w:r>
          </w:p>
        </w:tc>
        <w:tc>
          <w:tcPr>
            <w:tcW w:w="1275" w:type="dxa"/>
            <w:vAlign w:val="center"/>
          </w:tcPr>
          <w:p w:rsidR="00B370F6" w:rsidRDefault="00C8374F" w:rsidP="002653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粤财信托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永禄</w:t>
            </w:r>
            <w:r>
              <w:rPr>
                <w:rFonts w:ascii="方正仿宋简体" w:eastAsia="方正仿宋简体" w:hAnsi="方正仿宋简体" w:cs="方正仿宋简体"/>
                <w:sz w:val="24"/>
              </w:rPr>
              <w:t>16</w:t>
            </w:r>
            <w:r>
              <w:rPr>
                <w:rFonts w:ascii="方正仿宋简体" w:eastAsia="方正仿宋简体" w:hAnsi="方正仿宋简体" w:cs="方正仿宋简体"/>
                <w:sz w:val="24"/>
              </w:rPr>
              <w:t>号集合资金信托计划</w:t>
            </w:r>
          </w:p>
        </w:tc>
        <w:tc>
          <w:tcPr>
            <w:tcW w:w="1540" w:type="dxa"/>
            <w:vAlign w:val="center"/>
          </w:tcPr>
          <w:p w:rsidR="00B370F6" w:rsidRDefault="00C8374F" w:rsidP="002653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507</w:t>
            </w:r>
          </w:p>
        </w:tc>
        <w:tc>
          <w:tcPr>
            <w:tcW w:w="1383" w:type="dxa"/>
            <w:vAlign w:val="center"/>
          </w:tcPr>
          <w:p w:rsidR="00B370F6" w:rsidRDefault="00C8374F" w:rsidP="002653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按月付息，到期还本</w:t>
            </w:r>
          </w:p>
        </w:tc>
        <w:tc>
          <w:tcPr>
            <w:tcW w:w="1271" w:type="dxa"/>
            <w:vAlign w:val="center"/>
          </w:tcPr>
          <w:p w:rsidR="00B370F6" w:rsidRDefault="00C8374F" w:rsidP="002653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B370F6" w:rsidRDefault="00C8374F" w:rsidP="002653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B370F6" w:rsidRDefault="00B370F6">
      <w:pPr>
        <w:spacing w:before="240" w:after="72" w:line="360" w:lineRule="auto"/>
        <w:rPr>
          <w:rFonts w:ascii="方正仿宋_GBK" w:eastAsia="方正仿宋_GBK" w:hAnsi="宋体" w:cs="宋体"/>
          <w:sz w:val="24"/>
          <w:szCs w:val="24"/>
          <w:shd w:val="clear" w:color="auto" w:fill="FFFFFF"/>
        </w:rPr>
      </w:pPr>
    </w:p>
    <w:p w:rsidR="00B370F6" w:rsidRDefault="00C8374F">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B370F6">
        <w:trPr>
          <w:trHeight w:val="584"/>
          <w:jc w:val="center"/>
        </w:trPr>
        <w:tc>
          <w:tcPr>
            <w:tcW w:w="846" w:type="dxa"/>
            <w:vAlign w:val="center"/>
          </w:tcPr>
          <w:p w:rsidR="00B370F6" w:rsidRDefault="00C8374F" w:rsidP="00265388">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B370F6" w:rsidRDefault="00C8374F" w:rsidP="00265388">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B370F6" w:rsidRDefault="00C8374F" w:rsidP="00265388">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B370F6" w:rsidRDefault="00C8374F" w:rsidP="00265388">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B370F6" w:rsidRDefault="00C8374F" w:rsidP="00265388">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B370F6">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B370F6" w:rsidRDefault="00C8374F" w:rsidP="002653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B370F6" w:rsidRDefault="00C8374F" w:rsidP="002653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B370F6" w:rsidRDefault="00C8374F" w:rsidP="002653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0101070000000637</w:t>
            </w:r>
          </w:p>
        </w:tc>
        <w:tc>
          <w:tcPr>
            <w:tcW w:w="1983" w:type="dxa"/>
            <w:vAlign w:val="center"/>
          </w:tcPr>
          <w:p w:rsidR="00B370F6" w:rsidRDefault="00C8374F" w:rsidP="002653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南京银行南京分行南银理财鑫逸稳增强两年</w:t>
            </w:r>
            <w:r>
              <w:rPr>
                <w:rFonts w:ascii="方正仿宋简体" w:eastAsia="方正仿宋简体" w:hAnsi="方正仿宋简体" w:cs="方正仿宋简体"/>
                <w:sz w:val="24"/>
              </w:rPr>
              <w:t>61</w:t>
            </w:r>
            <w:r>
              <w:rPr>
                <w:rFonts w:ascii="方正仿宋简体" w:eastAsia="方正仿宋简体" w:hAnsi="方正仿宋简体" w:cs="方正仿宋简体"/>
                <w:sz w:val="24"/>
              </w:rPr>
              <w:t>期</w:t>
            </w:r>
          </w:p>
        </w:tc>
        <w:tc>
          <w:tcPr>
            <w:tcW w:w="1988" w:type="dxa"/>
            <w:vAlign w:val="center"/>
          </w:tcPr>
          <w:p w:rsidR="00B370F6" w:rsidRDefault="00C8374F" w:rsidP="0026538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B370F6" w:rsidRDefault="00B370F6">
      <w:pPr>
        <w:spacing w:afterLines="0" w:line="360" w:lineRule="auto"/>
        <w:rPr>
          <w:rFonts w:ascii="方正仿宋_GBK" w:eastAsia="方正仿宋_GBK"/>
          <w:sz w:val="24"/>
          <w:szCs w:val="24"/>
        </w:rPr>
      </w:pPr>
    </w:p>
    <w:p w:rsidR="00B370F6" w:rsidRDefault="00B370F6">
      <w:pPr>
        <w:spacing w:before="240" w:after="72" w:line="360" w:lineRule="auto"/>
        <w:jc w:val="center"/>
        <w:rPr>
          <w:rFonts w:ascii="方正仿宋_GBK" w:eastAsia="方正仿宋_GBK"/>
          <w:b/>
          <w:sz w:val="24"/>
          <w:szCs w:val="24"/>
        </w:rPr>
      </w:pPr>
    </w:p>
    <w:p w:rsidR="00B370F6" w:rsidRDefault="00C8374F">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B370F6" w:rsidRDefault="00C8374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B370F6" w:rsidRDefault="00C8374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B370F6" w:rsidRDefault="00C8374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B370F6" w:rsidRDefault="00C8374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B370F6" w:rsidRDefault="00C8374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B370F6" w:rsidRDefault="00C8374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265388" w:rsidRPr="00265388">
        <w:rPr>
          <w:rFonts w:ascii="方正仿宋简体" w:eastAsia="方正仿宋简体"/>
          <w:sz w:val="24"/>
          <w:szCs w:val="24"/>
        </w:rPr>
        <w:t>8,580.40</w:t>
      </w:r>
      <w:r>
        <w:rPr>
          <w:rFonts w:ascii="方正仿宋简体" w:eastAsia="方正仿宋简体" w:hint="eastAsia"/>
          <w:sz w:val="24"/>
          <w:szCs w:val="24"/>
        </w:rPr>
        <w:t>元。</w:t>
      </w:r>
    </w:p>
    <w:p w:rsidR="00B370F6" w:rsidRDefault="00C8374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B370F6" w:rsidRDefault="00C8374F">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B370F6" w:rsidRDefault="00B370F6">
      <w:pPr>
        <w:spacing w:before="240" w:after="72" w:line="360" w:lineRule="auto"/>
        <w:rPr>
          <w:rFonts w:ascii="方正仿宋_GBK" w:eastAsia="方正仿宋_GBK" w:hAnsi="宋体" w:cs="宋体"/>
          <w:kern w:val="0"/>
          <w:sz w:val="24"/>
          <w:szCs w:val="24"/>
        </w:rPr>
      </w:pPr>
    </w:p>
    <w:p w:rsidR="00B370F6" w:rsidRDefault="00B370F6">
      <w:pPr>
        <w:spacing w:before="240" w:after="72" w:line="360" w:lineRule="auto"/>
        <w:rPr>
          <w:rFonts w:ascii="方正仿宋_GBK" w:eastAsia="方正仿宋_GBK" w:hAnsi="宋体" w:cs="宋体"/>
          <w:kern w:val="0"/>
          <w:sz w:val="24"/>
          <w:szCs w:val="24"/>
        </w:rPr>
      </w:pPr>
    </w:p>
    <w:p w:rsidR="00B370F6" w:rsidRDefault="00B370F6">
      <w:pPr>
        <w:spacing w:before="240" w:after="72" w:line="360" w:lineRule="auto"/>
        <w:jc w:val="right"/>
        <w:rPr>
          <w:rFonts w:ascii="方正仿宋_GBK" w:eastAsia="方正仿宋_GBK"/>
          <w:b/>
          <w:sz w:val="24"/>
          <w:szCs w:val="24"/>
        </w:rPr>
      </w:pPr>
    </w:p>
    <w:p w:rsidR="00B370F6" w:rsidRDefault="00C8374F">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B370F6" w:rsidRDefault="00C8374F">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B370F6" w:rsidRDefault="00B370F6">
      <w:pPr>
        <w:spacing w:before="240" w:after="72" w:line="360" w:lineRule="auto"/>
        <w:rPr>
          <w:rFonts w:ascii="方正仿宋_GBK" w:eastAsia="方正仿宋_GBK"/>
          <w:sz w:val="24"/>
          <w:szCs w:val="24"/>
        </w:rPr>
      </w:pPr>
    </w:p>
    <w:p w:rsidR="00B370F6" w:rsidRDefault="00B370F6">
      <w:pPr>
        <w:spacing w:before="240" w:after="72" w:line="360" w:lineRule="auto"/>
        <w:rPr>
          <w:rFonts w:ascii="方正仿宋_GBK" w:eastAsia="方正仿宋_GBK"/>
          <w:sz w:val="24"/>
          <w:szCs w:val="24"/>
        </w:rPr>
      </w:pPr>
    </w:p>
    <w:sectPr w:rsidR="00B370F6" w:rsidSect="00B370F6">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374F" w:rsidRDefault="00C8374F" w:rsidP="00265388">
      <w:pPr>
        <w:spacing w:after="72"/>
      </w:pPr>
      <w:r>
        <w:separator/>
      </w:r>
    </w:p>
  </w:endnote>
  <w:endnote w:type="continuationSeparator" w:id="1">
    <w:p w:rsidR="00C8374F" w:rsidRDefault="00C8374F" w:rsidP="00265388">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0F6" w:rsidRDefault="00B370F6">
    <w:pPr>
      <w:pStyle w:val="a3"/>
      <w:framePr w:wrap="around" w:vAnchor="text" w:hAnchor="margin" w:xAlign="center" w:y="1"/>
      <w:spacing w:after="72"/>
      <w:rPr>
        <w:rStyle w:val="a6"/>
      </w:rPr>
    </w:pPr>
    <w:r>
      <w:fldChar w:fldCharType="begin"/>
    </w:r>
    <w:r w:rsidR="00C8374F">
      <w:rPr>
        <w:rStyle w:val="a6"/>
      </w:rPr>
      <w:instrText xml:space="preserve">PAGE  </w:instrText>
    </w:r>
    <w:r>
      <w:fldChar w:fldCharType="end"/>
    </w:r>
  </w:p>
  <w:p w:rsidR="00B370F6" w:rsidRDefault="00B370F6">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0F6" w:rsidRDefault="00B370F6">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0F6" w:rsidRDefault="00B370F6">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374F" w:rsidRDefault="00C8374F" w:rsidP="00265388">
      <w:pPr>
        <w:spacing w:after="72"/>
      </w:pPr>
      <w:r>
        <w:separator/>
      </w:r>
    </w:p>
  </w:footnote>
  <w:footnote w:type="continuationSeparator" w:id="1">
    <w:p w:rsidR="00C8374F" w:rsidRDefault="00C8374F" w:rsidP="00265388">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0F6" w:rsidRDefault="00B370F6">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0F6" w:rsidRDefault="00B370F6">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0F6" w:rsidRDefault="00B370F6">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65388"/>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370F6"/>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8374F"/>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70F6"/>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B370F6"/>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B370F6"/>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B370F6"/>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B370F6"/>
  </w:style>
  <w:style w:type="character" w:customStyle="1" w:styleId="Char">
    <w:name w:val="页脚 Char"/>
    <w:link w:val="a3"/>
    <w:uiPriority w:val="99"/>
    <w:qFormat/>
    <w:locked/>
    <w:rsid w:val="00B370F6"/>
    <w:rPr>
      <w:rFonts w:ascii="Times New Roman" w:hAnsi="Times New Roman" w:cs="Times New Roman"/>
      <w:sz w:val="18"/>
      <w:szCs w:val="18"/>
    </w:rPr>
  </w:style>
  <w:style w:type="character" w:customStyle="1" w:styleId="Char1">
    <w:name w:val="页脚 Char1"/>
    <w:basedOn w:val="a0"/>
    <w:uiPriority w:val="99"/>
    <w:semiHidden/>
    <w:qFormat/>
    <w:rsid w:val="00B370F6"/>
    <w:rPr>
      <w:rFonts w:ascii="Times New Roman" w:eastAsia="宋体" w:hAnsi="Times New Roman" w:cs="Times New Roman"/>
      <w:sz w:val="18"/>
      <w:szCs w:val="18"/>
    </w:rPr>
  </w:style>
  <w:style w:type="paragraph" w:customStyle="1" w:styleId="biaogeleft">
    <w:name w:val="biaoge_left"/>
    <w:basedOn w:val="a"/>
    <w:qFormat/>
    <w:rsid w:val="00B370F6"/>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B370F6"/>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B370F6"/>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B370F6"/>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B370F6"/>
    <w:pPr>
      <w:jc w:val="both"/>
    </w:pPr>
    <w:rPr>
      <w:rFonts w:ascii="Times New Roman" w:eastAsia="宋体" w:hAnsi="Times New Roman" w:cs="Times New Roman"/>
      <w:kern w:val="2"/>
      <w:sz w:val="21"/>
      <w:szCs w:val="21"/>
    </w:rPr>
  </w:style>
  <w:style w:type="paragraph" w:customStyle="1" w:styleId="biaogeright">
    <w:name w:val="biaoge_right"/>
    <w:basedOn w:val="a"/>
    <w:qFormat/>
    <w:rsid w:val="00B370F6"/>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B370F6"/>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B370F6"/>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B370F6"/>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B370F6"/>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012644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416</Words>
  <Characters>2376</Characters>
  <Application>Microsoft Office Word</Application>
  <DocSecurity>0</DocSecurity>
  <Lines>19</Lines>
  <Paragraphs>5</Paragraphs>
  <ScaleCrop>false</ScaleCrop>
  <Company>cc</Company>
  <LinksUpToDate>false</LinksUpToDate>
  <CharactersWithSpaces>2787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