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南银理财珠联璧合鑫逸稳一年128期封闭式公募人民币理财产品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南银理财珠联璧合鑫逸稳一年128期封闭式公募人民币理财产品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Z7003223000149（投资者可依据该编码在中国理财网www.chinawealth.com.cn查询理财产品相关信息）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2023年08月16日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1,244,009,816.00份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鑫元基金管理有限公司,中国对外经济贸易信托有限公司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414,581,365.10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399,683,471.54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333,878,407.03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126,364,896.10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结合来看，倾向于认为二季度债市调整风险可控，在这种背景下，票息策略可能仍相对占优。</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截至报告期末，本产品Y30128份额净值为1.0239元，Y31128份额净值为1.0245元，Y32128份额净值为1.0252元，Y33128份额净值为1.0258元。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472,101,496.49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23881894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23滨江投资14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256,524,030.26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23881627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23新昌投资04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23881865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23连云城建22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23881949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23钟楼新城04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南京滨江投资发展有限公司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23滨江投资14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连云港市城建控股集团有限公司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23连云城建22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浙江省新昌县投资发展集团有限公司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23新昌投资04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常州钟楼新城投资建设有限公司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23钟楼新城04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0101050000000643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南京银行南京分行南银理财鑫逸稳一年128期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产品支付关联方托管费0.00元，支付关联方代销费172,085.01元。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