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E2A" w:rsidRDefault="00965E2A">
      <w:pPr>
        <w:spacing w:before="240" w:after="72" w:line="360" w:lineRule="auto"/>
        <w:rPr>
          <w:rFonts w:asciiTheme="minorEastAsia" w:eastAsiaTheme="minorEastAsia" w:hAnsiTheme="minorEastAsia"/>
        </w:rPr>
      </w:pPr>
    </w:p>
    <w:p w:rsidR="00965E2A" w:rsidRDefault="00965E2A">
      <w:pPr>
        <w:spacing w:before="240" w:after="72" w:line="360" w:lineRule="auto"/>
        <w:rPr>
          <w:rFonts w:asciiTheme="minorEastAsia" w:eastAsiaTheme="minorEastAsia" w:hAnsiTheme="minorEastAsia"/>
        </w:rPr>
      </w:pPr>
    </w:p>
    <w:p w:rsidR="00965E2A" w:rsidRDefault="00965E2A">
      <w:pPr>
        <w:spacing w:before="240" w:after="72" w:line="360" w:lineRule="auto"/>
        <w:rPr>
          <w:rFonts w:asciiTheme="minorEastAsia" w:eastAsiaTheme="minorEastAsia" w:hAnsiTheme="minorEastAsia"/>
        </w:rPr>
      </w:pPr>
    </w:p>
    <w:p w:rsidR="00965E2A" w:rsidRDefault="00515EFC">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34</w:t>
      </w:r>
      <w:r>
        <w:rPr>
          <w:rFonts w:ascii="方正黑体简体" w:eastAsia="方正黑体简体" w:hAnsi="Calibri" w:hint="eastAsia"/>
          <w:sz w:val="36"/>
        </w:rPr>
        <w:t>期封闭式公募人民币理财产品</w:t>
      </w:r>
    </w:p>
    <w:p w:rsidR="00965E2A" w:rsidRDefault="00515EFC">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965E2A" w:rsidRDefault="00965E2A">
      <w:pPr>
        <w:spacing w:before="240" w:after="72" w:line="360" w:lineRule="auto"/>
        <w:jc w:val="center"/>
        <w:rPr>
          <w:rFonts w:ascii="方正黑体简体" w:eastAsia="方正黑体简体"/>
          <w:sz w:val="36"/>
          <w:szCs w:val="36"/>
        </w:rPr>
      </w:pPr>
    </w:p>
    <w:p w:rsidR="00965E2A" w:rsidRDefault="00965E2A">
      <w:pPr>
        <w:spacing w:before="240" w:after="72" w:line="360" w:lineRule="auto"/>
        <w:jc w:val="center"/>
        <w:rPr>
          <w:rFonts w:ascii="方正黑体简体" w:eastAsia="方正黑体简体"/>
          <w:sz w:val="36"/>
          <w:szCs w:val="36"/>
        </w:rPr>
      </w:pPr>
    </w:p>
    <w:p w:rsidR="00965E2A" w:rsidRDefault="00965E2A">
      <w:pPr>
        <w:spacing w:before="240" w:after="72" w:line="360" w:lineRule="auto"/>
        <w:jc w:val="center"/>
        <w:rPr>
          <w:rFonts w:ascii="方正黑体简体" w:eastAsia="方正黑体简体"/>
          <w:sz w:val="36"/>
          <w:szCs w:val="36"/>
        </w:rPr>
      </w:pPr>
    </w:p>
    <w:p w:rsidR="00965E2A" w:rsidRDefault="00965E2A">
      <w:pPr>
        <w:spacing w:before="240" w:after="72" w:line="360" w:lineRule="auto"/>
        <w:jc w:val="center"/>
        <w:rPr>
          <w:rFonts w:ascii="方正黑体简体" w:eastAsia="方正黑体简体"/>
          <w:sz w:val="36"/>
          <w:szCs w:val="36"/>
        </w:rPr>
      </w:pPr>
    </w:p>
    <w:p w:rsidR="00965E2A" w:rsidRDefault="00515EFC">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965E2A" w:rsidRDefault="00515EFC">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965E2A" w:rsidRDefault="00965E2A">
      <w:pPr>
        <w:spacing w:before="240" w:after="72" w:line="360" w:lineRule="auto"/>
        <w:rPr>
          <w:rFonts w:ascii="方正黑体简体" w:eastAsia="方正黑体简体"/>
          <w:sz w:val="36"/>
          <w:szCs w:val="36"/>
        </w:rPr>
      </w:pPr>
    </w:p>
    <w:p w:rsidR="00965E2A" w:rsidRDefault="00965E2A">
      <w:pPr>
        <w:spacing w:before="240" w:after="72" w:line="360" w:lineRule="auto"/>
        <w:rPr>
          <w:rFonts w:ascii="方正黑体简体" w:eastAsia="方正黑体简体"/>
          <w:sz w:val="36"/>
          <w:szCs w:val="36"/>
        </w:rPr>
      </w:pPr>
    </w:p>
    <w:p w:rsidR="00965E2A" w:rsidRDefault="00515EFC">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965E2A" w:rsidRDefault="00515EF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965E2A" w:rsidTr="00AC0D09">
        <w:trPr>
          <w:trHeight w:val="714"/>
          <w:jc w:val="center"/>
        </w:trPr>
        <w:tc>
          <w:tcPr>
            <w:tcW w:w="2719" w:type="dxa"/>
            <w:vAlign w:val="center"/>
          </w:tcPr>
          <w:p w:rsidR="00965E2A" w:rsidRDefault="00515EFC" w:rsidP="00AC0D09">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965E2A" w:rsidRDefault="00515EFC" w:rsidP="00AC0D09">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34</w:t>
            </w:r>
            <w:r>
              <w:rPr>
                <w:rFonts w:ascii="方正仿宋简体" w:eastAsia="方正仿宋简体" w:hint="eastAsia"/>
                <w:sz w:val="24"/>
                <w:szCs w:val="24"/>
              </w:rPr>
              <w:t>期封闭式公募人民币理财产品</w:t>
            </w:r>
          </w:p>
        </w:tc>
      </w:tr>
      <w:tr w:rsidR="00965E2A" w:rsidTr="00AC0D09">
        <w:trPr>
          <w:trHeight w:val="1300"/>
          <w:jc w:val="center"/>
        </w:trPr>
        <w:tc>
          <w:tcPr>
            <w:tcW w:w="2719" w:type="dxa"/>
            <w:vAlign w:val="center"/>
          </w:tcPr>
          <w:p w:rsidR="00965E2A" w:rsidRDefault="00515EFC" w:rsidP="00AC0D09">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965E2A" w:rsidRDefault="00515EFC" w:rsidP="00AC0D09">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Z7003223000015</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965E2A" w:rsidTr="00AC0D09">
        <w:trPr>
          <w:trHeight w:val="714"/>
          <w:jc w:val="center"/>
        </w:trPr>
        <w:tc>
          <w:tcPr>
            <w:tcW w:w="2719" w:type="dxa"/>
            <w:vAlign w:val="center"/>
          </w:tcPr>
          <w:p w:rsidR="00965E2A" w:rsidRDefault="00515EFC" w:rsidP="00AC0D09">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965E2A" w:rsidRDefault="00515EFC" w:rsidP="00AC0D09">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965E2A" w:rsidTr="00AC0D09">
        <w:trPr>
          <w:trHeight w:val="714"/>
          <w:jc w:val="center"/>
        </w:trPr>
        <w:tc>
          <w:tcPr>
            <w:tcW w:w="2719" w:type="dxa"/>
            <w:vAlign w:val="center"/>
          </w:tcPr>
          <w:p w:rsidR="00965E2A" w:rsidRDefault="00515EFC" w:rsidP="00AC0D09">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965E2A" w:rsidRDefault="00515EFC" w:rsidP="00AC0D09">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02</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p>
        </w:tc>
      </w:tr>
      <w:tr w:rsidR="00965E2A" w:rsidTr="00AC0D09">
        <w:trPr>
          <w:trHeight w:val="714"/>
          <w:jc w:val="center"/>
        </w:trPr>
        <w:tc>
          <w:tcPr>
            <w:tcW w:w="2719" w:type="dxa"/>
            <w:vAlign w:val="center"/>
          </w:tcPr>
          <w:p w:rsidR="00965E2A" w:rsidRDefault="00515EFC" w:rsidP="00AC0D09">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965E2A" w:rsidRDefault="00515EFC" w:rsidP="00AC0D09">
            <w:pPr>
              <w:spacing w:beforeLines="20" w:afterLines="20"/>
              <w:jc w:val="left"/>
              <w:rPr>
                <w:rFonts w:ascii="方正仿宋简体" w:eastAsia="方正仿宋简体"/>
                <w:sz w:val="24"/>
                <w:szCs w:val="24"/>
              </w:rPr>
            </w:pPr>
            <w:r>
              <w:rPr>
                <w:rFonts w:ascii="方正仿宋简体" w:eastAsia="方正仿宋简体" w:hint="eastAsia"/>
                <w:sz w:val="24"/>
                <w:szCs w:val="24"/>
              </w:rPr>
              <w:t>154,148,419.00</w:t>
            </w:r>
            <w:r>
              <w:rPr>
                <w:rFonts w:ascii="方正仿宋简体" w:eastAsia="方正仿宋简体" w:hint="eastAsia"/>
                <w:sz w:val="24"/>
                <w:szCs w:val="24"/>
              </w:rPr>
              <w:t>份</w:t>
            </w:r>
          </w:p>
        </w:tc>
      </w:tr>
      <w:tr w:rsidR="00965E2A" w:rsidTr="00AC0D09">
        <w:trPr>
          <w:trHeight w:val="688"/>
          <w:jc w:val="center"/>
        </w:trPr>
        <w:tc>
          <w:tcPr>
            <w:tcW w:w="2719" w:type="dxa"/>
            <w:vAlign w:val="center"/>
          </w:tcPr>
          <w:p w:rsidR="00965E2A" w:rsidRDefault="00515EFC" w:rsidP="00AC0D09">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965E2A" w:rsidRDefault="00515EFC" w:rsidP="00AC0D09">
            <w:pPr>
              <w:spacing w:beforeLines="20" w:afterLines="20"/>
              <w:jc w:val="left"/>
              <w:rPr>
                <w:rFonts w:ascii="方正仿宋简体" w:eastAsia="方正仿宋简体"/>
                <w:sz w:val="24"/>
                <w:szCs w:val="24"/>
              </w:rPr>
            </w:pPr>
            <w:r>
              <w:rPr>
                <w:rFonts w:ascii="方正仿宋简体" w:eastAsia="方正仿宋简体" w:hint="eastAsia"/>
                <w:sz w:val="24"/>
                <w:szCs w:val="24"/>
              </w:rPr>
              <w:t>中粮信托有限责任公司</w:t>
            </w:r>
            <w:r>
              <w:rPr>
                <w:rFonts w:ascii="方正仿宋简体" w:eastAsia="方正仿宋简体" w:hint="eastAsia"/>
                <w:sz w:val="24"/>
                <w:szCs w:val="24"/>
              </w:rPr>
              <w:t>,</w:t>
            </w: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易方达基金管理有限公司</w:t>
            </w:r>
          </w:p>
        </w:tc>
      </w:tr>
      <w:tr w:rsidR="00965E2A" w:rsidTr="00AC0D09">
        <w:trPr>
          <w:trHeight w:val="714"/>
          <w:jc w:val="center"/>
        </w:trPr>
        <w:tc>
          <w:tcPr>
            <w:tcW w:w="2719" w:type="dxa"/>
            <w:vAlign w:val="center"/>
          </w:tcPr>
          <w:p w:rsidR="00965E2A" w:rsidRDefault="00515EFC" w:rsidP="00AC0D09">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965E2A" w:rsidRDefault="00515EFC" w:rsidP="00AC0D09">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965E2A" w:rsidTr="00AC0D09">
        <w:trPr>
          <w:trHeight w:val="714"/>
          <w:jc w:val="center"/>
        </w:trPr>
        <w:tc>
          <w:tcPr>
            <w:tcW w:w="2719" w:type="dxa"/>
            <w:vAlign w:val="center"/>
          </w:tcPr>
          <w:p w:rsidR="00965E2A" w:rsidRDefault="00515EFC" w:rsidP="00AC0D09">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965E2A" w:rsidRDefault="00515EFC" w:rsidP="00AC0D09">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965E2A" w:rsidRDefault="00965E2A">
      <w:pPr>
        <w:spacing w:before="240" w:after="72" w:line="360" w:lineRule="auto"/>
        <w:rPr>
          <w:rFonts w:ascii="方正仿宋_GBK" w:eastAsia="方正仿宋_GBK" w:hAnsi="宋体" w:cs="宋体"/>
          <w:kern w:val="0"/>
          <w:sz w:val="24"/>
          <w:szCs w:val="24"/>
        </w:rPr>
      </w:pPr>
    </w:p>
    <w:p w:rsidR="00965E2A" w:rsidRDefault="00515EF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965E2A" w:rsidRDefault="00515EF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965E2A" w:rsidRDefault="00515EFC">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965E2A">
        <w:trPr>
          <w:trHeight w:val="699"/>
          <w:jc w:val="center"/>
        </w:trPr>
        <w:tc>
          <w:tcPr>
            <w:tcW w:w="1838" w:type="dxa"/>
            <w:vMerge w:val="restart"/>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965E2A">
        <w:trPr>
          <w:trHeight w:val="1697"/>
          <w:jc w:val="center"/>
        </w:trPr>
        <w:tc>
          <w:tcPr>
            <w:tcW w:w="1838" w:type="dxa"/>
            <w:vMerge/>
            <w:vAlign w:val="center"/>
          </w:tcPr>
          <w:p w:rsidR="00965E2A" w:rsidRDefault="00965E2A" w:rsidP="00AC0D09">
            <w:pPr>
              <w:spacing w:beforeLines="20" w:afterLines="20"/>
              <w:jc w:val="center"/>
              <w:rPr>
                <w:rFonts w:ascii="方正仿宋简体" w:eastAsia="方正仿宋简体"/>
                <w:sz w:val="24"/>
                <w:szCs w:val="24"/>
              </w:rPr>
            </w:pPr>
          </w:p>
        </w:tc>
        <w:tc>
          <w:tcPr>
            <w:tcW w:w="2693" w:type="dxa"/>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965E2A">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Y40034</w:t>
            </w:r>
          </w:p>
        </w:tc>
        <w:tc>
          <w:tcPr>
            <w:tcW w:w="2693" w:type="dxa"/>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63,928,220.47</w:t>
            </w:r>
          </w:p>
        </w:tc>
        <w:tc>
          <w:tcPr>
            <w:tcW w:w="2410" w:type="dxa"/>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1.0262</w:t>
            </w:r>
          </w:p>
        </w:tc>
        <w:tc>
          <w:tcPr>
            <w:tcW w:w="2126" w:type="dxa"/>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1.0262</w:t>
            </w:r>
          </w:p>
        </w:tc>
      </w:tr>
      <w:tr w:rsidR="00965E2A">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Y41034</w:t>
            </w:r>
          </w:p>
        </w:tc>
        <w:tc>
          <w:tcPr>
            <w:tcW w:w="2693" w:type="dxa"/>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14,332,450.13</w:t>
            </w:r>
          </w:p>
        </w:tc>
        <w:tc>
          <w:tcPr>
            <w:tcW w:w="2410" w:type="dxa"/>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1.0286</w:t>
            </w:r>
          </w:p>
        </w:tc>
        <w:tc>
          <w:tcPr>
            <w:tcW w:w="2126" w:type="dxa"/>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1.0286</w:t>
            </w:r>
          </w:p>
        </w:tc>
      </w:tr>
      <w:tr w:rsidR="00965E2A">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Y42034</w:t>
            </w:r>
          </w:p>
        </w:tc>
        <w:tc>
          <w:tcPr>
            <w:tcW w:w="2693" w:type="dxa"/>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80,154,537.66</w:t>
            </w:r>
          </w:p>
        </w:tc>
        <w:tc>
          <w:tcPr>
            <w:tcW w:w="2410" w:type="dxa"/>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1.0286</w:t>
            </w:r>
          </w:p>
        </w:tc>
        <w:tc>
          <w:tcPr>
            <w:tcW w:w="2126" w:type="dxa"/>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1.0286</w:t>
            </w:r>
          </w:p>
        </w:tc>
      </w:tr>
    </w:tbl>
    <w:p w:rsidR="00965E2A" w:rsidRDefault="00515EFC">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965E2A" w:rsidRDefault="00965E2A">
      <w:pPr>
        <w:spacing w:before="240" w:after="72" w:line="360" w:lineRule="auto"/>
        <w:rPr>
          <w:rFonts w:ascii="方正仿宋_GBK" w:eastAsia="方正仿宋_GBK"/>
          <w:sz w:val="24"/>
          <w:szCs w:val="24"/>
        </w:rPr>
      </w:pPr>
    </w:p>
    <w:p w:rsidR="00965E2A" w:rsidRDefault="00515EF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965E2A" w:rsidRDefault="00515EF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965E2A" w:rsidRDefault="00515EFC">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年二季度，权益市场触底回升后，绝对估值、交易活跃度、情绪指标均回到正常区间，春季躁动行情中超跌反弹和拔估值的两大动能已接近尾声，后续需要等</w:t>
      </w:r>
      <w:r>
        <w:rPr>
          <w:rFonts w:ascii="方正仿宋简体" w:eastAsia="方正仿宋简体" w:hint="eastAsia"/>
          <w:sz w:val="24"/>
          <w:szCs w:val="24"/>
        </w:rPr>
        <w:lastRenderedPageBreak/>
        <w:t>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w:t>
      </w:r>
      <w:r>
        <w:rPr>
          <w:rFonts w:ascii="方正仿宋简体" w:eastAsia="方正仿宋简体" w:hint="eastAsia"/>
          <w:sz w:val="24"/>
          <w:szCs w:val="24"/>
        </w:rPr>
        <w:t>续债。整体看，经济基本面未发生明显变化，对债市仍偏有利，债市方向未改，但前期交易盘浮盈较厚的背景下，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965E2A" w:rsidRDefault="00515EF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w:t>
      </w:r>
      <w:r>
        <w:rPr>
          <w:rFonts w:ascii="方正仿宋简体" w:eastAsia="方正仿宋简体" w:hint="eastAsia"/>
          <w:b/>
          <w:sz w:val="24"/>
          <w:szCs w:val="24"/>
        </w:rPr>
        <w:t>动性风险分析</w:t>
      </w:r>
    </w:p>
    <w:p w:rsidR="00965E2A" w:rsidRDefault="00515EFC">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965E2A" w:rsidRDefault="00515EF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965E2A" w:rsidRDefault="00515EF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Y40034</w:t>
      </w:r>
      <w:r>
        <w:rPr>
          <w:rFonts w:ascii="方正仿宋简体" w:eastAsia="方正仿宋简体" w:hint="eastAsia"/>
          <w:sz w:val="24"/>
          <w:szCs w:val="24"/>
        </w:rPr>
        <w:t>份额净值为</w:t>
      </w:r>
      <w:r>
        <w:rPr>
          <w:rFonts w:ascii="方正仿宋简体" w:eastAsia="方正仿宋简体" w:hint="eastAsia"/>
          <w:sz w:val="24"/>
          <w:szCs w:val="24"/>
        </w:rPr>
        <w:t>1.0263</w:t>
      </w:r>
      <w:r>
        <w:rPr>
          <w:rFonts w:ascii="方正仿宋简体" w:eastAsia="方正仿宋简体" w:hint="eastAsia"/>
          <w:sz w:val="24"/>
          <w:szCs w:val="24"/>
        </w:rPr>
        <w:t>元，</w:t>
      </w:r>
      <w:r>
        <w:rPr>
          <w:rFonts w:ascii="方正仿宋简体" w:eastAsia="方正仿宋简体" w:hint="eastAsia"/>
          <w:sz w:val="24"/>
          <w:szCs w:val="24"/>
        </w:rPr>
        <w:t>Y41034</w:t>
      </w:r>
      <w:r>
        <w:rPr>
          <w:rFonts w:ascii="方正仿宋简体" w:eastAsia="方正仿宋简体" w:hint="eastAsia"/>
          <w:sz w:val="24"/>
          <w:szCs w:val="24"/>
        </w:rPr>
        <w:t>份额净值为</w:t>
      </w:r>
      <w:r>
        <w:rPr>
          <w:rFonts w:ascii="方正仿宋简体" w:eastAsia="方正仿宋简体" w:hint="eastAsia"/>
          <w:sz w:val="24"/>
          <w:szCs w:val="24"/>
        </w:rPr>
        <w:t>1.0287</w:t>
      </w:r>
      <w:r>
        <w:rPr>
          <w:rFonts w:ascii="方正仿宋简体" w:eastAsia="方正仿宋简体" w:hint="eastAsia"/>
          <w:sz w:val="24"/>
          <w:szCs w:val="24"/>
        </w:rPr>
        <w:t>元，</w:t>
      </w:r>
      <w:r>
        <w:rPr>
          <w:rFonts w:ascii="方正仿宋简体" w:eastAsia="方正仿宋简体" w:hint="eastAsia"/>
          <w:sz w:val="24"/>
          <w:szCs w:val="24"/>
        </w:rPr>
        <w:t>Y42034</w:t>
      </w:r>
      <w:r>
        <w:rPr>
          <w:rFonts w:ascii="方正仿宋简体" w:eastAsia="方正仿宋简体" w:hint="eastAsia"/>
          <w:sz w:val="24"/>
          <w:szCs w:val="24"/>
        </w:rPr>
        <w:t>份额净值为</w:t>
      </w:r>
      <w:r>
        <w:rPr>
          <w:rFonts w:ascii="方正仿宋简体" w:eastAsia="方正仿宋简体" w:hint="eastAsia"/>
          <w:sz w:val="24"/>
          <w:szCs w:val="24"/>
        </w:rPr>
        <w:t>1.0287</w:t>
      </w:r>
      <w:r>
        <w:rPr>
          <w:rFonts w:ascii="方正仿宋简体" w:eastAsia="方正仿宋简体" w:hint="eastAsia"/>
          <w:sz w:val="24"/>
          <w:szCs w:val="24"/>
        </w:rPr>
        <w:t>元。</w:t>
      </w:r>
    </w:p>
    <w:p w:rsidR="00965E2A" w:rsidRDefault="00965E2A">
      <w:pPr>
        <w:spacing w:before="240" w:after="72" w:line="360" w:lineRule="auto"/>
        <w:rPr>
          <w:rFonts w:ascii="方正仿宋_GBK" w:eastAsia="方正仿宋_GBK" w:hAnsi="宋体"/>
          <w:sz w:val="24"/>
          <w:szCs w:val="24"/>
        </w:rPr>
      </w:pPr>
    </w:p>
    <w:p w:rsidR="00965E2A" w:rsidRDefault="00515EF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965E2A" w:rsidRDefault="00515EF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965E2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965E2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91.37%</w:t>
            </w:r>
          </w:p>
        </w:tc>
        <w:tc>
          <w:tcPr>
            <w:tcW w:w="3289" w:type="dxa"/>
            <w:tcBorders>
              <w:top w:val="single" w:sz="4" w:space="0" w:color="auto"/>
              <w:left w:val="single" w:sz="4" w:space="0" w:color="auto"/>
              <w:bottom w:val="single" w:sz="4" w:space="0" w:color="auto"/>
              <w:right w:val="single" w:sz="4" w:space="0" w:color="auto"/>
            </w:tcBorders>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93.09%</w:t>
            </w:r>
          </w:p>
        </w:tc>
      </w:tr>
      <w:tr w:rsidR="00965E2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6.73%</w:t>
            </w:r>
          </w:p>
        </w:tc>
      </w:tr>
      <w:tr w:rsidR="00965E2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965E2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8.63%</w:t>
            </w:r>
          </w:p>
        </w:tc>
        <w:tc>
          <w:tcPr>
            <w:tcW w:w="3289" w:type="dxa"/>
            <w:tcBorders>
              <w:top w:val="single" w:sz="4" w:space="0" w:color="auto"/>
              <w:left w:val="single" w:sz="4" w:space="0" w:color="auto"/>
              <w:bottom w:val="single" w:sz="4" w:space="0" w:color="auto"/>
              <w:right w:val="single" w:sz="4" w:space="0" w:color="auto"/>
            </w:tcBorders>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0.18%</w:t>
            </w:r>
          </w:p>
        </w:tc>
      </w:tr>
      <w:tr w:rsidR="00965E2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965E2A" w:rsidRDefault="00965E2A">
      <w:pPr>
        <w:spacing w:before="240" w:after="72" w:line="360" w:lineRule="auto"/>
        <w:rPr>
          <w:rFonts w:ascii="方正仿宋_GBK" w:eastAsia="方正仿宋_GBK"/>
          <w:sz w:val="24"/>
          <w:szCs w:val="24"/>
        </w:rPr>
      </w:pPr>
    </w:p>
    <w:p w:rsidR="00965E2A" w:rsidRDefault="00515EF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965E2A">
        <w:trPr>
          <w:trHeight w:val="1233"/>
          <w:jc w:val="center"/>
        </w:trPr>
        <w:tc>
          <w:tcPr>
            <w:tcW w:w="750" w:type="dxa"/>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965E2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23880308</w:t>
            </w:r>
          </w:p>
        </w:tc>
        <w:tc>
          <w:tcPr>
            <w:tcW w:w="2712" w:type="dxa"/>
            <w:shd w:val="clear" w:color="000000" w:fill="FFFFFF"/>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海陵城发</w:t>
            </w:r>
            <w:r>
              <w:rPr>
                <w:rFonts w:ascii="方正仿宋简体" w:eastAsia="方正仿宋简体" w:hAnsi="方正仿宋简体" w:cs="方正仿宋简体"/>
                <w:sz w:val="24"/>
              </w:rPr>
              <w:t>01</w:t>
            </w:r>
          </w:p>
        </w:tc>
        <w:tc>
          <w:tcPr>
            <w:tcW w:w="2052" w:type="dxa"/>
            <w:shd w:val="clear" w:color="000000" w:fill="FFFFFF"/>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76,000,000.00</w:t>
            </w:r>
          </w:p>
        </w:tc>
        <w:tc>
          <w:tcPr>
            <w:tcW w:w="1807" w:type="dxa"/>
            <w:shd w:val="clear" w:color="000000" w:fill="FFFFFF"/>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47.97</w:t>
            </w:r>
          </w:p>
        </w:tc>
      </w:tr>
      <w:tr w:rsidR="00965E2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ZJQTT202210190001</w:t>
            </w:r>
          </w:p>
        </w:tc>
        <w:tc>
          <w:tcPr>
            <w:tcW w:w="2712" w:type="dxa"/>
            <w:shd w:val="clear" w:color="000000" w:fill="FFFFFF"/>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22,407,325.41</w:t>
            </w:r>
          </w:p>
        </w:tc>
        <w:tc>
          <w:tcPr>
            <w:tcW w:w="1807" w:type="dxa"/>
            <w:shd w:val="clear" w:color="000000" w:fill="FFFFFF"/>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14.14</w:t>
            </w:r>
          </w:p>
        </w:tc>
      </w:tr>
      <w:tr w:rsidR="00965E2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20,629,604.62</w:t>
            </w:r>
          </w:p>
        </w:tc>
        <w:tc>
          <w:tcPr>
            <w:tcW w:w="1807" w:type="dxa"/>
            <w:shd w:val="clear" w:color="000000" w:fill="FFFFFF"/>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13.02</w:t>
            </w:r>
          </w:p>
        </w:tc>
      </w:tr>
      <w:tr w:rsidR="00965E2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ZJQTT202101180001</w:t>
            </w:r>
          </w:p>
        </w:tc>
        <w:tc>
          <w:tcPr>
            <w:tcW w:w="2712" w:type="dxa"/>
            <w:shd w:val="clear" w:color="000000" w:fill="FFFFFF"/>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易方达基金鸿鹤</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20,463,241.56</w:t>
            </w:r>
          </w:p>
        </w:tc>
        <w:tc>
          <w:tcPr>
            <w:tcW w:w="1807" w:type="dxa"/>
            <w:shd w:val="clear" w:color="000000" w:fill="FFFFFF"/>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12.92</w:t>
            </w:r>
          </w:p>
        </w:tc>
      </w:tr>
      <w:tr w:rsidR="00965E2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HHQTT202103300001</w:t>
            </w:r>
          </w:p>
        </w:tc>
        <w:tc>
          <w:tcPr>
            <w:tcW w:w="2712" w:type="dxa"/>
            <w:shd w:val="clear" w:color="000000" w:fill="FFFFFF"/>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13,707,098.78</w:t>
            </w:r>
          </w:p>
        </w:tc>
        <w:tc>
          <w:tcPr>
            <w:tcW w:w="1807" w:type="dxa"/>
            <w:shd w:val="clear" w:color="000000" w:fill="FFFFFF"/>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8.65</w:t>
            </w:r>
          </w:p>
        </w:tc>
      </w:tr>
      <w:tr w:rsidR="00965E2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ZJQTT202308250001</w:t>
            </w:r>
          </w:p>
        </w:tc>
        <w:tc>
          <w:tcPr>
            <w:tcW w:w="2712" w:type="dxa"/>
            <w:shd w:val="clear" w:color="000000" w:fill="FFFFFF"/>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鼎兴</w:t>
            </w:r>
            <w:r>
              <w:rPr>
                <w:rFonts w:ascii="方正仿宋简体" w:eastAsia="方正仿宋简体" w:hAnsi="方正仿宋简体" w:cs="方正仿宋简体"/>
                <w:sz w:val="24"/>
              </w:rPr>
              <w:t>5</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4,417,909.65</w:t>
            </w:r>
          </w:p>
        </w:tc>
        <w:tc>
          <w:tcPr>
            <w:tcW w:w="1807" w:type="dxa"/>
            <w:shd w:val="clear" w:color="000000" w:fill="FFFFFF"/>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2.79</w:t>
            </w:r>
          </w:p>
        </w:tc>
      </w:tr>
    </w:tbl>
    <w:p w:rsidR="00965E2A" w:rsidRDefault="00965E2A">
      <w:pPr>
        <w:spacing w:before="240" w:after="72" w:line="360" w:lineRule="auto"/>
        <w:rPr>
          <w:rFonts w:ascii="方正仿宋_GBK" w:eastAsia="方正仿宋_GBK" w:hAnsi="宋体" w:cs="宋体"/>
          <w:sz w:val="24"/>
          <w:szCs w:val="24"/>
          <w:shd w:val="clear" w:color="auto" w:fill="FFFFFF"/>
        </w:rPr>
      </w:pPr>
    </w:p>
    <w:p w:rsidR="00965E2A" w:rsidRDefault="00515EFC">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965E2A">
        <w:trPr>
          <w:trHeight w:val="1078"/>
          <w:jc w:val="center"/>
        </w:trPr>
        <w:tc>
          <w:tcPr>
            <w:tcW w:w="877" w:type="dxa"/>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965E2A">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泰州海陵城市发展集团有限公司</w:t>
            </w:r>
          </w:p>
        </w:tc>
        <w:tc>
          <w:tcPr>
            <w:tcW w:w="1275" w:type="dxa"/>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海陵城发</w:t>
            </w:r>
            <w:r>
              <w:rPr>
                <w:rFonts w:ascii="方正仿宋简体" w:eastAsia="方正仿宋简体" w:hAnsi="方正仿宋简体" w:cs="方正仿宋简体"/>
                <w:sz w:val="24"/>
              </w:rPr>
              <w:t>01</w:t>
            </w:r>
          </w:p>
        </w:tc>
        <w:tc>
          <w:tcPr>
            <w:tcW w:w="1540" w:type="dxa"/>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310</w:t>
            </w:r>
          </w:p>
        </w:tc>
        <w:tc>
          <w:tcPr>
            <w:tcW w:w="1383" w:type="dxa"/>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965E2A" w:rsidRDefault="00965E2A">
      <w:pPr>
        <w:spacing w:before="240" w:after="72" w:line="360" w:lineRule="auto"/>
        <w:rPr>
          <w:rFonts w:ascii="方正仿宋_GBK" w:eastAsia="方正仿宋_GBK" w:hAnsi="宋体" w:cs="宋体"/>
          <w:sz w:val="24"/>
          <w:szCs w:val="24"/>
          <w:shd w:val="clear" w:color="auto" w:fill="FFFFFF"/>
        </w:rPr>
      </w:pPr>
    </w:p>
    <w:p w:rsidR="00965E2A" w:rsidRDefault="00515EF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965E2A">
        <w:trPr>
          <w:trHeight w:val="584"/>
          <w:jc w:val="center"/>
        </w:trPr>
        <w:tc>
          <w:tcPr>
            <w:tcW w:w="846" w:type="dxa"/>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965E2A" w:rsidRDefault="00515EFC" w:rsidP="00AC0D09">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965E2A">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0120090000001031</w:t>
            </w:r>
          </w:p>
        </w:tc>
        <w:tc>
          <w:tcPr>
            <w:tcW w:w="1983" w:type="dxa"/>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34</w:t>
            </w:r>
            <w:r>
              <w:rPr>
                <w:rFonts w:ascii="方正仿宋简体" w:eastAsia="方正仿宋简体" w:hAnsi="方正仿宋简体" w:cs="方正仿宋简体"/>
                <w:sz w:val="24"/>
              </w:rPr>
              <w:t>期</w:t>
            </w:r>
          </w:p>
        </w:tc>
        <w:tc>
          <w:tcPr>
            <w:tcW w:w="1988" w:type="dxa"/>
            <w:vAlign w:val="center"/>
          </w:tcPr>
          <w:p w:rsidR="00965E2A" w:rsidRDefault="00515EFC" w:rsidP="00AC0D0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965E2A" w:rsidRDefault="00965E2A">
      <w:pPr>
        <w:spacing w:afterLines="0" w:line="360" w:lineRule="auto"/>
        <w:rPr>
          <w:rFonts w:ascii="方正仿宋_GBK" w:eastAsia="方正仿宋_GBK"/>
          <w:sz w:val="24"/>
          <w:szCs w:val="24"/>
        </w:rPr>
      </w:pPr>
    </w:p>
    <w:p w:rsidR="00965E2A" w:rsidRDefault="00965E2A">
      <w:pPr>
        <w:spacing w:before="240" w:after="72" w:line="360" w:lineRule="auto"/>
        <w:jc w:val="center"/>
        <w:rPr>
          <w:rFonts w:ascii="方正仿宋_GBK" w:eastAsia="方正仿宋_GBK"/>
          <w:b/>
          <w:sz w:val="24"/>
          <w:szCs w:val="24"/>
        </w:rPr>
      </w:pPr>
    </w:p>
    <w:p w:rsidR="00965E2A" w:rsidRDefault="00515EF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965E2A" w:rsidRDefault="00515EF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965E2A" w:rsidRDefault="00515EF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965E2A" w:rsidRDefault="00515EF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965E2A" w:rsidRDefault="00515EF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965E2A" w:rsidRDefault="00515EF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965E2A" w:rsidRDefault="00515EF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AC0D09" w:rsidRPr="00AC0D09">
        <w:rPr>
          <w:rFonts w:ascii="方正仿宋简体" w:eastAsia="方正仿宋简体"/>
          <w:sz w:val="24"/>
          <w:szCs w:val="24"/>
        </w:rPr>
        <w:t>22,594.48</w:t>
      </w:r>
      <w:r>
        <w:rPr>
          <w:rFonts w:ascii="方正仿宋简体" w:eastAsia="方正仿宋简体" w:hint="eastAsia"/>
          <w:sz w:val="24"/>
          <w:szCs w:val="24"/>
        </w:rPr>
        <w:t>元。</w:t>
      </w:r>
    </w:p>
    <w:p w:rsidR="00965E2A" w:rsidRDefault="00515EF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965E2A" w:rsidRDefault="00515EF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965E2A" w:rsidRDefault="00965E2A">
      <w:pPr>
        <w:spacing w:before="240" w:after="72" w:line="360" w:lineRule="auto"/>
        <w:rPr>
          <w:rFonts w:ascii="方正仿宋_GBK" w:eastAsia="方正仿宋_GBK" w:hAnsi="宋体" w:cs="宋体"/>
          <w:kern w:val="0"/>
          <w:sz w:val="24"/>
          <w:szCs w:val="24"/>
        </w:rPr>
      </w:pPr>
    </w:p>
    <w:p w:rsidR="00965E2A" w:rsidRDefault="00965E2A">
      <w:pPr>
        <w:spacing w:before="240" w:after="72" w:line="360" w:lineRule="auto"/>
        <w:rPr>
          <w:rFonts w:ascii="方正仿宋_GBK" w:eastAsia="方正仿宋_GBK" w:hAnsi="宋体" w:cs="宋体"/>
          <w:kern w:val="0"/>
          <w:sz w:val="24"/>
          <w:szCs w:val="24"/>
        </w:rPr>
      </w:pPr>
    </w:p>
    <w:p w:rsidR="00965E2A" w:rsidRDefault="00965E2A">
      <w:pPr>
        <w:spacing w:before="240" w:after="72" w:line="360" w:lineRule="auto"/>
        <w:jc w:val="right"/>
        <w:rPr>
          <w:rFonts w:ascii="方正仿宋_GBK" w:eastAsia="方正仿宋_GBK"/>
          <w:b/>
          <w:sz w:val="24"/>
          <w:szCs w:val="24"/>
        </w:rPr>
      </w:pPr>
    </w:p>
    <w:p w:rsidR="00965E2A" w:rsidRDefault="00515EFC">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965E2A" w:rsidRDefault="00515EFC">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965E2A" w:rsidRDefault="00965E2A">
      <w:pPr>
        <w:spacing w:before="240" w:after="72" w:line="360" w:lineRule="auto"/>
        <w:rPr>
          <w:rFonts w:ascii="方正仿宋_GBK" w:eastAsia="方正仿宋_GBK"/>
          <w:sz w:val="24"/>
          <w:szCs w:val="24"/>
        </w:rPr>
      </w:pPr>
    </w:p>
    <w:p w:rsidR="00965E2A" w:rsidRDefault="00965E2A">
      <w:pPr>
        <w:spacing w:before="240" w:after="72" w:line="360" w:lineRule="auto"/>
        <w:rPr>
          <w:rFonts w:ascii="方正仿宋_GBK" w:eastAsia="方正仿宋_GBK"/>
          <w:sz w:val="24"/>
          <w:szCs w:val="24"/>
        </w:rPr>
      </w:pPr>
    </w:p>
    <w:sectPr w:rsidR="00965E2A" w:rsidSect="00965E2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5EFC" w:rsidRDefault="00515EFC" w:rsidP="00AC0D09">
      <w:pPr>
        <w:spacing w:after="72"/>
      </w:pPr>
      <w:r>
        <w:separator/>
      </w:r>
    </w:p>
  </w:endnote>
  <w:endnote w:type="continuationSeparator" w:id="1">
    <w:p w:rsidR="00515EFC" w:rsidRDefault="00515EFC" w:rsidP="00AC0D09">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E2A" w:rsidRDefault="00965E2A">
    <w:pPr>
      <w:pStyle w:val="a3"/>
      <w:framePr w:wrap="around" w:vAnchor="text" w:hAnchor="margin" w:xAlign="center" w:y="1"/>
      <w:spacing w:after="72"/>
      <w:rPr>
        <w:rStyle w:val="a6"/>
      </w:rPr>
    </w:pPr>
    <w:r>
      <w:fldChar w:fldCharType="begin"/>
    </w:r>
    <w:r w:rsidR="00515EFC">
      <w:rPr>
        <w:rStyle w:val="a6"/>
      </w:rPr>
      <w:instrText xml:space="preserve">PAGE  </w:instrText>
    </w:r>
    <w:r>
      <w:fldChar w:fldCharType="end"/>
    </w:r>
  </w:p>
  <w:p w:rsidR="00965E2A" w:rsidRDefault="00965E2A">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E2A" w:rsidRDefault="00965E2A">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E2A" w:rsidRDefault="00965E2A">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5EFC" w:rsidRDefault="00515EFC" w:rsidP="00AC0D09">
      <w:pPr>
        <w:spacing w:after="72"/>
      </w:pPr>
      <w:r>
        <w:separator/>
      </w:r>
    </w:p>
  </w:footnote>
  <w:footnote w:type="continuationSeparator" w:id="1">
    <w:p w:rsidR="00515EFC" w:rsidRDefault="00515EFC" w:rsidP="00AC0D09">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E2A" w:rsidRDefault="00965E2A">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E2A" w:rsidRDefault="00965E2A">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E2A" w:rsidRDefault="00965E2A">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15EFC"/>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65E2A"/>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0D09"/>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5E2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965E2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965E2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965E2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965E2A"/>
  </w:style>
  <w:style w:type="character" w:customStyle="1" w:styleId="Char">
    <w:name w:val="页脚 Char"/>
    <w:link w:val="a3"/>
    <w:uiPriority w:val="99"/>
    <w:qFormat/>
    <w:locked/>
    <w:rsid w:val="00965E2A"/>
    <w:rPr>
      <w:rFonts w:ascii="Times New Roman" w:hAnsi="Times New Roman" w:cs="Times New Roman"/>
      <w:sz w:val="18"/>
      <w:szCs w:val="18"/>
    </w:rPr>
  </w:style>
  <w:style w:type="character" w:customStyle="1" w:styleId="Char1">
    <w:name w:val="页脚 Char1"/>
    <w:basedOn w:val="a0"/>
    <w:uiPriority w:val="99"/>
    <w:semiHidden/>
    <w:qFormat/>
    <w:rsid w:val="00965E2A"/>
    <w:rPr>
      <w:rFonts w:ascii="Times New Roman" w:eastAsia="宋体" w:hAnsi="Times New Roman" w:cs="Times New Roman"/>
      <w:sz w:val="18"/>
      <w:szCs w:val="18"/>
    </w:rPr>
  </w:style>
  <w:style w:type="paragraph" w:customStyle="1" w:styleId="biaogeleft">
    <w:name w:val="biaoge_left"/>
    <w:basedOn w:val="a"/>
    <w:qFormat/>
    <w:rsid w:val="00965E2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965E2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965E2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965E2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965E2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965E2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965E2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965E2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965E2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965E2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8727639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427</Words>
  <Characters>2438</Characters>
  <Application>Microsoft Office Word</Application>
  <DocSecurity>0</DocSecurity>
  <Lines>20</Lines>
  <Paragraphs>5</Paragraphs>
  <ScaleCrop>false</ScaleCrop>
  <Company>cc</Company>
  <LinksUpToDate>false</LinksUpToDate>
  <CharactersWithSpaces>2860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