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2FA" w:rsidRDefault="00CE72FA">
      <w:pPr>
        <w:spacing w:before="240" w:after="72" w:line="360" w:lineRule="auto"/>
        <w:rPr>
          <w:rFonts w:asciiTheme="minorEastAsia" w:eastAsiaTheme="minorEastAsia" w:hAnsiTheme="minorEastAsia"/>
        </w:rPr>
      </w:pPr>
    </w:p>
    <w:p w:rsidR="00CE72FA" w:rsidRDefault="00CE72FA">
      <w:pPr>
        <w:spacing w:before="240" w:after="72" w:line="360" w:lineRule="auto"/>
        <w:rPr>
          <w:rFonts w:asciiTheme="minorEastAsia" w:eastAsiaTheme="minorEastAsia" w:hAnsiTheme="minorEastAsia"/>
        </w:rPr>
      </w:pPr>
    </w:p>
    <w:p w:rsidR="00CE72FA" w:rsidRDefault="00CE72FA">
      <w:pPr>
        <w:spacing w:before="240" w:after="72" w:line="360" w:lineRule="auto"/>
        <w:rPr>
          <w:rFonts w:asciiTheme="minorEastAsia" w:eastAsiaTheme="minorEastAsia" w:hAnsiTheme="minorEastAsia"/>
        </w:rPr>
      </w:pPr>
    </w:p>
    <w:p w:rsidR="00CE72FA" w:rsidRDefault="00D346F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南银理财珠联璧合优稳日申季赎公募人民币理财产品</w:t>
      </w:r>
    </w:p>
    <w:p w:rsidR="00CE72FA" w:rsidRDefault="00D346FD">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CE72FA" w:rsidRDefault="00CE72FA">
      <w:pPr>
        <w:spacing w:before="240" w:after="72" w:line="360" w:lineRule="auto"/>
        <w:jc w:val="center"/>
        <w:rPr>
          <w:rFonts w:ascii="方正黑体简体" w:eastAsia="方正黑体简体"/>
          <w:sz w:val="36"/>
          <w:szCs w:val="36"/>
        </w:rPr>
      </w:pPr>
    </w:p>
    <w:p w:rsidR="00CE72FA" w:rsidRDefault="00CE72FA">
      <w:pPr>
        <w:spacing w:before="240" w:after="72" w:line="360" w:lineRule="auto"/>
        <w:jc w:val="center"/>
        <w:rPr>
          <w:rFonts w:ascii="方正黑体简体" w:eastAsia="方正黑体简体"/>
          <w:sz w:val="36"/>
          <w:szCs w:val="36"/>
        </w:rPr>
      </w:pPr>
    </w:p>
    <w:p w:rsidR="00CE72FA" w:rsidRDefault="00CE72FA">
      <w:pPr>
        <w:spacing w:before="240" w:after="72" w:line="360" w:lineRule="auto"/>
        <w:jc w:val="center"/>
        <w:rPr>
          <w:rFonts w:ascii="方正黑体简体" w:eastAsia="方正黑体简体"/>
          <w:sz w:val="36"/>
          <w:szCs w:val="36"/>
        </w:rPr>
      </w:pPr>
    </w:p>
    <w:p w:rsidR="00CE72FA" w:rsidRDefault="00CE72FA">
      <w:pPr>
        <w:spacing w:before="240" w:after="72" w:line="360" w:lineRule="auto"/>
        <w:jc w:val="center"/>
        <w:rPr>
          <w:rFonts w:ascii="方正黑体简体" w:eastAsia="方正黑体简体"/>
          <w:sz w:val="36"/>
          <w:szCs w:val="36"/>
        </w:rPr>
      </w:pPr>
    </w:p>
    <w:p w:rsidR="00CE72FA" w:rsidRDefault="00D346F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CE72FA" w:rsidRDefault="00D346FD">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CE72FA" w:rsidRDefault="00CE72FA">
      <w:pPr>
        <w:spacing w:before="240" w:after="72" w:line="360" w:lineRule="auto"/>
        <w:rPr>
          <w:rFonts w:ascii="方正黑体简体" w:eastAsia="方正黑体简体"/>
          <w:sz w:val="36"/>
          <w:szCs w:val="36"/>
        </w:rPr>
      </w:pPr>
    </w:p>
    <w:p w:rsidR="00CE72FA" w:rsidRDefault="00CE72FA">
      <w:pPr>
        <w:spacing w:before="240" w:after="72" w:line="360" w:lineRule="auto"/>
        <w:rPr>
          <w:rFonts w:ascii="方正黑体简体" w:eastAsia="方正黑体简体"/>
          <w:sz w:val="36"/>
          <w:szCs w:val="36"/>
        </w:rPr>
      </w:pPr>
    </w:p>
    <w:p w:rsidR="00CE72FA" w:rsidRDefault="00D346FD">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南银理财珠联璧合优稳日申季赎公募人民币理财产品</w:t>
            </w:r>
          </w:p>
        </w:tc>
      </w:tr>
      <w:tr w:rsidR="00CE72FA" w:rsidTr="004312AA">
        <w:trPr>
          <w:trHeight w:val="1300"/>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Z7003220000013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2020</w:t>
            </w:r>
            <w:r>
              <w:rPr>
                <w:rFonts w:ascii="方正仿宋简体" w:eastAsia="方正仿宋简体" w:hint="eastAsia"/>
                <w:sz w:val="24"/>
                <w:szCs w:val="24"/>
              </w:rPr>
              <w:t>年</w:t>
            </w:r>
            <w:r>
              <w:rPr>
                <w:rFonts w:ascii="方正仿宋简体" w:eastAsia="方正仿宋简体" w:hint="eastAsia"/>
                <w:sz w:val="24"/>
                <w:szCs w:val="24"/>
              </w:rPr>
              <w:t>06</w:t>
            </w:r>
            <w:r>
              <w:rPr>
                <w:rFonts w:ascii="方正仿宋简体" w:eastAsia="方正仿宋简体" w:hint="eastAsia"/>
                <w:sz w:val="24"/>
                <w:szCs w:val="24"/>
              </w:rPr>
              <w:t>月</w:t>
            </w:r>
            <w:r>
              <w:rPr>
                <w:rFonts w:ascii="方正仿宋简体" w:eastAsia="方正仿宋简体" w:hint="eastAsia"/>
                <w:sz w:val="24"/>
                <w:szCs w:val="24"/>
              </w:rPr>
              <w:t>04</w:t>
            </w:r>
            <w:r>
              <w:rPr>
                <w:rFonts w:ascii="方正仿宋简体" w:eastAsia="方正仿宋简体" w:hint="eastAsia"/>
                <w:sz w:val="24"/>
                <w:szCs w:val="24"/>
              </w:rPr>
              <w:t>日</w:t>
            </w:r>
          </w:p>
        </w:tc>
      </w:tr>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14,953,068,101.91</w:t>
            </w:r>
            <w:r>
              <w:rPr>
                <w:rFonts w:ascii="方正仿宋简体" w:eastAsia="方正仿宋简体" w:hint="eastAsia"/>
                <w:sz w:val="24"/>
                <w:szCs w:val="24"/>
              </w:rPr>
              <w:t>份</w:t>
            </w:r>
          </w:p>
        </w:tc>
      </w:tr>
      <w:tr w:rsidR="00CE72FA" w:rsidTr="004312AA">
        <w:trPr>
          <w:trHeight w:val="688"/>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国投泰康信托有限公司</w:t>
            </w:r>
            <w:r>
              <w:rPr>
                <w:rFonts w:ascii="方正仿宋简体" w:eastAsia="方正仿宋简体" w:hint="eastAsia"/>
                <w:sz w:val="24"/>
                <w:szCs w:val="24"/>
              </w:rPr>
              <w:t>,</w:t>
            </w:r>
            <w:r>
              <w:rPr>
                <w:rFonts w:ascii="方正仿宋简体" w:eastAsia="方正仿宋简体" w:hint="eastAsia"/>
                <w:sz w:val="24"/>
                <w:szCs w:val="24"/>
              </w:rPr>
              <w:t>太平资产管理有限公司</w:t>
            </w:r>
            <w:r>
              <w:rPr>
                <w:rFonts w:ascii="方正仿宋简体" w:eastAsia="方正仿宋简体" w:hint="eastAsia"/>
                <w:sz w:val="24"/>
                <w:szCs w:val="24"/>
              </w:rPr>
              <w:t>,</w:t>
            </w:r>
            <w:r>
              <w:rPr>
                <w:rFonts w:ascii="方正仿宋简体" w:eastAsia="方正仿宋简体" w:hint="eastAsia"/>
                <w:sz w:val="24"/>
                <w:szCs w:val="24"/>
              </w:rPr>
              <w:t>鑫沅资产管理有限公司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r>
              <w:rPr>
                <w:rFonts w:ascii="方正仿宋简体" w:eastAsia="方正仿宋简体" w:hint="eastAsia"/>
                <w:sz w:val="24"/>
                <w:szCs w:val="24"/>
              </w:rPr>
              <w:t>,</w:t>
            </w:r>
            <w:r>
              <w:rPr>
                <w:rFonts w:ascii="方正仿宋简体" w:eastAsia="方正仿宋简体" w:hint="eastAsia"/>
                <w:sz w:val="24"/>
                <w:szCs w:val="24"/>
              </w:rPr>
              <w:t>百年保险资产管理有限责任公司</w:t>
            </w:r>
          </w:p>
        </w:tc>
      </w:tr>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CE72FA" w:rsidTr="004312AA">
        <w:trPr>
          <w:trHeight w:val="714"/>
          <w:jc w:val="center"/>
        </w:trPr>
        <w:tc>
          <w:tcPr>
            <w:tcW w:w="2719"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CE72FA" w:rsidRDefault="00D346FD" w:rsidP="004312A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CE72FA" w:rsidRDefault="00CE72FA">
      <w:pPr>
        <w:spacing w:before="240" w:after="72" w:line="360" w:lineRule="auto"/>
        <w:rPr>
          <w:rFonts w:ascii="方正仿宋_GBK" w:eastAsia="方正仿宋_GBK" w:hAnsi="宋体" w:cs="宋体"/>
          <w:kern w:val="0"/>
          <w:sz w:val="24"/>
          <w:szCs w:val="24"/>
        </w:rPr>
      </w:pP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CE72FA" w:rsidRDefault="00D346FD">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CE72FA">
        <w:trPr>
          <w:trHeight w:val="699"/>
          <w:jc w:val="center"/>
        </w:trPr>
        <w:tc>
          <w:tcPr>
            <w:tcW w:w="1838" w:type="dxa"/>
            <w:vMerge w:val="restart"/>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CE72FA">
        <w:trPr>
          <w:trHeight w:val="1697"/>
          <w:jc w:val="center"/>
        </w:trPr>
        <w:tc>
          <w:tcPr>
            <w:tcW w:w="1838" w:type="dxa"/>
            <w:vMerge/>
            <w:vAlign w:val="center"/>
          </w:tcPr>
          <w:p w:rsidR="00CE72FA" w:rsidRDefault="00CE72FA" w:rsidP="004312AA">
            <w:pPr>
              <w:spacing w:beforeLines="20" w:afterLines="20"/>
              <w:jc w:val="center"/>
              <w:rPr>
                <w:rFonts w:ascii="方正仿宋简体" w:eastAsia="方正仿宋简体"/>
                <w:sz w:val="24"/>
                <w:szCs w:val="24"/>
              </w:rPr>
            </w:pPr>
          </w:p>
        </w:tc>
        <w:tc>
          <w:tcPr>
            <w:tcW w:w="2693"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CE72F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Z60001</w:t>
            </w:r>
          </w:p>
        </w:tc>
        <w:tc>
          <w:tcPr>
            <w:tcW w:w="2693"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17,306,460,380.07</w:t>
            </w:r>
          </w:p>
        </w:tc>
        <w:tc>
          <w:tcPr>
            <w:tcW w:w="2410"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1.1573</w:t>
            </w:r>
          </w:p>
        </w:tc>
        <w:tc>
          <w:tcPr>
            <w:tcW w:w="2126"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1.1573</w:t>
            </w:r>
          </w:p>
        </w:tc>
      </w:tr>
    </w:tbl>
    <w:p w:rsidR="00CE72FA" w:rsidRDefault="00D346FD">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CE72FA" w:rsidRDefault="00CE72FA">
      <w:pPr>
        <w:spacing w:before="240" w:after="72" w:line="360" w:lineRule="auto"/>
        <w:rPr>
          <w:rFonts w:ascii="方正仿宋_GBK" w:eastAsia="方正仿宋_GBK"/>
          <w:sz w:val="24"/>
          <w:szCs w:val="24"/>
        </w:rPr>
      </w:pP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CE72FA" w:rsidRDefault="00D346FD">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 xml:space="preserve">LPR </w:t>
      </w:r>
      <w:r>
        <w:rPr>
          <w:rFonts w:ascii="方正仿宋简体" w:eastAsia="方正仿宋简体" w:hint="eastAsia"/>
          <w:sz w:val="24"/>
          <w:szCs w:val="24"/>
        </w:rPr>
        <w:t>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w:t>
      </w:r>
      <w:r>
        <w:rPr>
          <w:rFonts w:ascii="方正仿宋简体" w:eastAsia="方正仿宋简体" w:hint="eastAsia"/>
          <w:sz w:val="24"/>
          <w:szCs w:val="24"/>
        </w:rPr>
        <w:t>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  产品始终围绕稳健回报的收益目标进行操作，通过持有信用资质较好、绝对收益相对较高的江浙等发达省市信用债作为底仓，获取稳定可靠的票息收益；同时增加同业存单、存款等高流动</w:t>
      </w:r>
      <w:r>
        <w:rPr>
          <w:rFonts w:ascii="方正仿宋简体" w:eastAsia="方正仿宋简体" w:hint="eastAsia"/>
          <w:sz w:val="24"/>
          <w:szCs w:val="24"/>
        </w:rPr>
        <w:t>性资产仓位保证流动性安全。基于对后市的判断，产品将灵活调整杠杆与久期，实现产品净值在合理区间内保持相对稳定；同时加强市场与品种研判，在控制好风险的前提下博取超额收益。</w:t>
      </w: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CE72FA" w:rsidRDefault="00D346FD">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产品投资运作稳健，资产结构保持较高的流动性水平，平稳度过市场各关键时点。下阶段，产品将继续维持合理的流动性资产比例，做好负债端现金流的跟踪与研判，适度拉长杠杆融资期限，控制产品流动性风险。</w:t>
      </w: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截至报告期末，本产品份额净值为</w:t>
      </w:r>
      <w:r>
        <w:rPr>
          <w:rFonts w:ascii="方正仿宋简体" w:eastAsia="方正仿宋简体" w:hint="eastAsia"/>
          <w:sz w:val="24"/>
          <w:szCs w:val="24"/>
        </w:rPr>
        <w:t>1.1574</w:t>
      </w:r>
      <w:r>
        <w:rPr>
          <w:rFonts w:ascii="方正仿宋简体" w:eastAsia="方正仿宋简体" w:hint="eastAsia"/>
          <w:sz w:val="24"/>
          <w:szCs w:val="24"/>
        </w:rPr>
        <w:t>元。</w:t>
      </w:r>
    </w:p>
    <w:p w:rsidR="00CE72FA" w:rsidRDefault="00CE72FA">
      <w:pPr>
        <w:spacing w:before="240" w:after="72" w:line="360" w:lineRule="auto"/>
        <w:rPr>
          <w:rFonts w:ascii="方正仿宋_GBK" w:eastAsia="方正仿宋_GBK" w:hAnsi="宋体"/>
          <w:sz w:val="24"/>
          <w:szCs w:val="24"/>
        </w:rPr>
      </w:pP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CE72F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CE72FA" w:rsidRDefault="00CE72FA">
      <w:pPr>
        <w:spacing w:before="240" w:after="72" w:line="360" w:lineRule="auto"/>
        <w:rPr>
          <w:rFonts w:ascii="方正仿宋_GBK" w:eastAsia="方正仿宋_GBK"/>
          <w:sz w:val="24"/>
          <w:szCs w:val="24"/>
        </w:rPr>
      </w:pP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CE72FA">
        <w:trPr>
          <w:trHeight w:val="1233"/>
          <w:jc w:val="center"/>
        </w:trPr>
        <w:tc>
          <w:tcPr>
            <w:tcW w:w="750"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ZJQTT202311080001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国投泰康信托福佳</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1,596,082,520.27</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9.22</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ZJQTT202306010001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鼎兴</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973,553,934.46</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5.62</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XJCKX202403250001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农业银行安庆分行活期存款</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920,000,000.00</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5.32</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ZJQTT202308160001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中粮信托鼎兴</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669,597,022.74</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3.87</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ZJQTT202401030001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百年资管弘远</w:t>
            </w:r>
            <w:r>
              <w:rPr>
                <w:rFonts w:ascii="方正仿宋简体" w:eastAsia="方正仿宋简体" w:hAnsi="方正仿宋简体" w:cs="方正仿宋简体"/>
                <w:sz w:val="24"/>
              </w:rPr>
              <w:t>59</w:t>
            </w:r>
            <w:r>
              <w:rPr>
                <w:rFonts w:ascii="方正仿宋简体" w:eastAsia="方正仿宋简体" w:hAnsi="方正仿宋简体" w:cs="方正仿宋简体"/>
                <w:sz w:val="24"/>
              </w:rPr>
              <w:t>号资产管理产品</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552,731,270.54</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3.19</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ZJQTT202401220001</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321,353,110.79</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1.86</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ZJQTT202311080002</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国投泰康信托福佳</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202,511,823.76</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092218003</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农发清发</w:t>
            </w:r>
            <w:r>
              <w:rPr>
                <w:rFonts w:ascii="方正仿宋简体" w:eastAsia="方正仿宋简体" w:hAnsi="方正仿宋简体" w:cs="方正仿宋简体"/>
                <w:sz w:val="24"/>
              </w:rPr>
              <w:t>03</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200,265,600.00</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1.16</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ZJQTT202304250024</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太平资产盛世稳富</w:t>
            </w:r>
            <w:r>
              <w:rPr>
                <w:rFonts w:ascii="方正仿宋简体" w:eastAsia="方正仿宋简体" w:hAnsi="方正仿宋简体" w:cs="方正仿宋简体"/>
                <w:sz w:val="24"/>
              </w:rPr>
              <w:t>28</w:t>
            </w:r>
            <w:r>
              <w:rPr>
                <w:rFonts w:ascii="方正仿宋简体" w:eastAsia="方正仿宋简体" w:hAnsi="方正仿宋简体" w:cs="方正仿宋简体"/>
                <w:sz w:val="24"/>
              </w:rPr>
              <w:t>号资管产品</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154,085,492.72</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0.89</w:t>
            </w:r>
          </w:p>
        </w:tc>
      </w:tr>
      <w:tr w:rsidR="00CE72F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1928013</w:t>
            </w:r>
          </w:p>
        </w:tc>
        <w:tc>
          <w:tcPr>
            <w:tcW w:w="271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w:t>
            </w:r>
            <w:r>
              <w:rPr>
                <w:rFonts w:ascii="方正仿宋简体" w:eastAsia="方正仿宋简体" w:hAnsi="方正仿宋简体" w:cs="方正仿宋简体"/>
                <w:sz w:val="24"/>
              </w:rPr>
              <w:t>民生银行永续债</w:t>
            </w:r>
          </w:p>
        </w:tc>
        <w:tc>
          <w:tcPr>
            <w:tcW w:w="2052"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110,448,030.00</w:t>
            </w:r>
          </w:p>
        </w:tc>
        <w:tc>
          <w:tcPr>
            <w:tcW w:w="1807" w:type="dxa"/>
            <w:shd w:val="clear" w:color="000000" w:fill="FFFFFF"/>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0.64</w:t>
            </w:r>
          </w:p>
        </w:tc>
      </w:tr>
    </w:tbl>
    <w:p w:rsidR="00CE72FA" w:rsidRDefault="00CE72FA">
      <w:pPr>
        <w:spacing w:before="240" w:after="72" w:line="360" w:lineRule="auto"/>
        <w:rPr>
          <w:rFonts w:ascii="方正仿宋_GBK" w:eastAsia="方正仿宋_GBK" w:hAnsi="宋体" w:cs="宋体"/>
          <w:sz w:val="24"/>
          <w:szCs w:val="24"/>
          <w:shd w:val="clear" w:color="auto" w:fill="FFFFFF"/>
        </w:rPr>
      </w:pPr>
    </w:p>
    <w:p w:rsidR="00CE72FA" w:rsidRDefault="00D346FD">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CE72FA">
        <w:trPr>
          <w:trHeight w:val="1078"/>
          <w:jc w:val="center"/>
        </w:trPr>
        <w:tc>
          <w:tcPr>
            <w:tcW w:w="877"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704"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CE72F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CE72FA" w:rsidRDefault="00CE72FA">
      <w:pPr>
        <w:spacing w:before="240" w:after="72" w:line="360" w:lineRule="auto"/>
        <w:rPr>
          <w:rFonts w:ascii="方正仿宋_GBK" w:eastAsia="方正仿宋_GBK" w:hAnsi="宋体" w:cs="宋体"/>
          <w:sz w:val="24"/>
          <w:szCs w:val="24"/>
          <w:shd w:val="clear" w:color="auto" w:fill="FFFFFF"/>
        </w:rPr>
      </w:pP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CE72FA">
        <w:trPr>
          <w:trHeight w:val="584"/>
          <w:jc w:val="center"/>
        </w:trPr>
        <w:tc>
          <w:tcPr>
            <w:tcW w:w="846"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CE72FA" w:rsidRDefault="00D346FD" w:rsidP="004312AA">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CE72F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0120020000000407</w:t>
            </w:r>
          </w:p>
        </w:tc>
        <w:tc>
          <w:tcPr>
            <w:tcW w:w="1983"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南京银行优稳日申季赎</w:t>
            </w:r>
          </w:p>
        </w:tc>
        <w:tc>
          <w:tcPr>
            <w:tcW w:w="1988" w:type="dxa"/>
            <w:vAlign w:val="center"/>
          </w:tcPr>
          <w:p w:rsidR="00CE72FA" w:rsidRDefault="00D346FD" w:rsidP="004312AA">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CE72FA" w:rsidRDefault="00CE72FA">
      <w:pPr>
        <w:spacing w:afterLines="0" w:line="360" w:lineRule="auto"/>
        <w:rPr>
          <w:rFonts w:ascii="方正仿宋_GBK" w:eastAsia="方正仿宋_GBK"/>
          <w:sz w:val="24"/>
          <w:szCs w:val="24"/>
        </w:rPr>
      </w:pPr>
    </w:p>
    <w:p w:rsidR="00CE72FA" w:rsidRDefault="00CE72FA">
      <w:pPr>
        <w:spacing w:before="240" w:after="72" w:line="360" w:lineRule="auto"/>
        <w:jc w:val="center"/>
        <w:rPr>
          <w:rFonts w:ascii="方正仿宋_GBK" w:eastAsia="方正仿宋_GBK"/>
          <w:b/>
          <w:sz w:val="24"/>
          <w:szCs w:val="24"/>
        </w:rPr>
      </w:pPr>
    </w:p>
    <w:p w:rsidR="00CE72FA" w:rsidRDefault="00D346FD">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728,468.74</w:t>
      </w:r>
      <w:r>
        <w:rPr>
          <w:rFonts w:ascii="方正仿宋简体" w:eastAsia="方正仿宋简体" w:hint="eastAsia"/>
          <w:sz w:val="24"/>
          <w:szCs w:val="24"/>
        </w:rPr>
        <w:t>元，支付关联方代销费</w:t>
      </w:r>
      <w:r w:rsidR="004312AA" w:rsidRPr="004312AA">
        <w:rPr>
          <w:rFonts w:ascii="方正仿宋简体" w:eastAsia="方正仿宋简体"/>
          <w:sz w:val="24"/>
          <w:szCs w:val="24"/>
        </w:rPr>
        <w:t>4,018,927.92</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CE72FA" w:rsidRDefault="00D346FD">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CE72FA" w:rsidRDefault="00CE72FA">
      <w:pPr>
        <w:spacing w:before="240" w:after="72" w:line="360" w:lineRule="auto"/>
        <w:rPr>
          <w:rFonts w:ascii="方正仿宋_GBK" w:eastAsia="方正仿宋_GBK" w:hAnsi="宋体" w:cs="宋体"/>
          <w:kern w:val="0"/>
          <w:sz w:val="24"/>
          <w:szCs w:val="24"/>
        </w:rPr>
      </w:pPr>
    </w:p>
    <w:p w:rsidR="00CE72FA" w:rsidRDefault="00CE72FA">
      <w:pPr>
        <w:spacing w:before="240" w:after="72" w:line="360" w:lineRule="auto"/>
        <w:rPr>
          <w:rFonts w:ascii="方正仿宋_GBK" w:eastAsia="方正仿宋_GBK" w:hAnsi="宋体" w:cs="宋体"/>
          <w:kern w:val="0"/>
          <w:sz w:val="24"/>
          <w:szCs w:val="24"/>
        </w:rPr>
      </w:pPr>
    </w:p>
    <w:p w:rsidR="00CE72FA" w:rsidRDefault="00CE72FA">
      <w:pPr>
        <w:spacing w:before="240" w:after="72" w:line="360" w:lineRule="auto"/>
        <w:jc w:val="right"/>
        <w:rPr>
          <w:rFonts w:ascii="方正仿宋_GBK" w:eastAsia="方正仿宋_GBK"/>
          <w:b/>
          <w:sz w:val="24"/>
          <w:szCs w:val="24"/>
        </w:rPr>
      </w:pPr>
    </w:p>
    <w:p w:rsidR="00CE72FA" w:rsidRDefault="00D346F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CE72FA" w:rsidRDefault="00D346FD">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CE72FA" w:rsidRDefault="00CE72FA">
      <w:pPr>
        <w:spacing w:before="240" w:after="72" w:line="360" w:lineRule="auto"/>
        <w:rPr>
          <w:rFonts w:ascii="方正仿宋_GBK" w:eastAsia="方正仿宋_GBK"/>
          <w:sz w:val="24"/>
          <w:szCs w:val="24"/>
        </w:rPr>
      </w:pPr>
    </w:p>
    <w:p w:rsidR="00CE72FA" w:rsidRDefault="00CE72FA">
      <w:pPr>
        <w:spacing w:before="240" w:after="72" w:line="360" w:lineRule="auto"/>
        <w:rPr>
          <w:rFonts w:ascii="方正仿宋_GBK" w:eastAsia="方正仿宋_GBK"/>
          <w:sz w:val="24"/>
          <w:szCs w:val="24"/>
        </w:rPr>
      </w:pPr>
    </w:p>
    <w:sectPr w:rsidR="00CE72FA" w:rsidSect="00CE72F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6FD" w:rsidRDefault="00D346FD" w:rsidP="004312AA">
      <w:pPr>
        <w:spacing w:after="72"/>
      </w:pPr>
      <w:r>
        <w:separator/>
      </w:r>
    </w:p>
  </w:endnote>
  <w:endnote w:type="continuationSeparator" w:id="1">
    <w:p w:rsidR="00D346FD" w:rsidRDefault="00D346FD" w:rsidP="004312AA">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3"/>
      <w:framePr w:wrap="around" w:vAnchor="text" w:hAnchor="margin" w:xAlign="center" w:y="1"/>
      <w:spacing w:after="72"/>
      <w:rPr>
        <w:rStyle w:val="a6"/>
      </w:rPr>
    </w:pPr>
    <w:r>
      <w:fldChar w:fldCharType="begin"/>
    </w:r>
    <w:r w:rsidR="00D346FD">
      <w:rPr>
        <w:rStyle w:val="a6"/>
      </w:rPr>
      <w:instrText xml:space="preserve">PAGE  </w:instrText>
    </w:r>
    <w:r>
      <w:fldChar w:fldCharType="end"/>
    </w:r>
  </w:p>
  <w:p w:rsidR="00CE72FA" w:rsidRDefault="00CE72F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6FD" w:rsidRDefault="00D346FD" w:rsidP="004312AA">
      <w:pPr>
        <w:spacing w:after="72"/>
      </w:pPr>
      <w:r>
        <w:separator/>
      </w:r>
    </w:p>
  </w:footnote>
  <w:footnote w:type="continuationSeparator" w:id="1">
    <w:p w:rsidR="00D346FD" w:rsidRDefault="00D346FD" w:rsidP="004312AA">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2FA" w:rsidRDefault="00CE72F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12AA"/>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E72FA"/>
    <w:rsid w:val="00CF49CF"/>
    <w:rsid w:val="00D0321E"/>
    <w:rsid w:val="00D1704F"/>
    <w:rsid w:val="00D22C40"/>
    <w:rsid w:val="00D346FD"/>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2F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E72F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CE72F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CE72F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CE72FA"/>
  </w:style>
  <w:style w:type="character" w:customStyle="1" w:styleId="Char">
    <w:name w:val="页脚 Char"/>
    <w:link w:val="a3"/>
    <w:uiPriority w:val="99"/>
    <w:qFormat/>
    <w:locked/>
    <w:rsid w:val="00CE72FA"/>
    <w:rPr>
      <w:rFonts w:ascii="Times New Roman" w:hAnsi="Times New Roman" w:cs="Times New Roman"/>
      <w:sz w:val="18"/>
      <w:szCs w:val="18"/>
    </w:rPr>
  </w:style>
  <w:style w:type="character" w:customStyle="1" w:styleId="Char1">
    <w:name w:val="页脚 Char1"/>
    <w:basedOn w:val="a0"/>
    <w:uiPriority w:val="99"/>
    <w:semiHidden/>
    <w:qFormat/>
    <w:rsid w:val="00CE72FA"/>
    <w:rPr>
      <w:rFonts w:ascii="Times New Roman" w:eastAsia="宋体" w:hAnsi="Times New Roman" w:cs="Times New Roman"/>
      <w:sz w:val="18"/>
      <w:szCs w:val="18"/>
    </w:rPr>
  </w:style>
  <w:style w:type="paragraph" w:customStyle="1" w:styleId="biaogeleft">
    <w:name w:val="biaoge_left"/>
    <w:basedOn w:val="a"/>
    <w:qFormat/>
    <w:rsid w:val="00CE72F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CE72F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CE72F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CE72F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CE72F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CE72F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CE72F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CE72F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CE72F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CE72F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934627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404</Words>
  <Characters>2308</Characters>
  <Application>Microsoft Office Word</Application>
  <DocSecurity>0</DocSecurity>
  <Lines>19</Lines>
  <Paragraphs>5</Paragraphs>
  <ScaleCrop>false</ScaleCrop>
  <Company>cc</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