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南银理财珠联璧合鑫逸稳一年117期封闭式公募人民币理财产品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南银理财珠联璧合鑫逸稳一年117期封闭式公募人民币理财产品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Z7003223000103（投资者可依据该编码在中国理财网www.chinawealth.com.cn查询理财产品相关信息）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2023年05月31日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1,431,121,437.00份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云南国际信托有限公司,江苏省国际信托有限责任公司,中国对外经济贸易信托有限公司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Y30117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195,157,072.48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Y31117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592,889,582.91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Y32117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475,340,722.64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Y33117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216,789,157.18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结合来看，倾向于认为二季度债市调整风险可控，在这种背景下，票息策略可能仍相对占优。</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截至报告期末，本产品Y30117份额净值为1.0330元，Y31117份额净值为1.0339元，Y32117份额净值为1.0348元，Y33117份额净值为1.0356元。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617,134,125.46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155,420,974.88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23881356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23西湖城建08</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23江宁经开09</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23881384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23今世缘01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127,000,000.00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23881352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23镇江风旅01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23881563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23淮安国联11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XTDKX202306250002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80,008,000.00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淮安市国有联合投资发展集团有限公司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23淮安国联11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南京江宁经济技术开发集团有限公司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23江宁经开09</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今世缘集团有限公司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23今世缘01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杭州西湖城市建设投资集团有限公司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23西湖城建08</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镇江市风景旅游发展有限责任公司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23镇江风旅01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0120010000001186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南银理财鑫逸稳一年117期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产品支付关联方托管费0.00元，支付关联方代销费232,083.74元。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