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Z7003223000147（投资者可依据该编码在中国理财网www.chinawealth.com.cn查询理财产品相关信息）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324,892,014.00份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西部信托有限公司,国联基金管理有限公司,广东粤财信托有限公司,中国对外经济贸易信托有限公司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98,478,477.27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114,440,350.99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120,018,691.32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截至报告期末，本产品Y60035份额净值为1.0240元，Y61035份额净值为1.0246元，Y62035份额净值为1.0253元。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90,069,283.52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81,933,764.75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XTDKX202311010022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西部信托·瑞彭1号集合资金信托计划（B类）</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81,264,000.00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XTDKX202309150022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48,090,400.00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XTDKX202308250022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30,780,000.00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徐州高新技术产业开发区国有资产经营有限公司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西部信托·瑞彭1号集合资金信托计划（B类）</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浙江网商银行股份有限公司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浙江网商银行股份有限公司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粤财信托·永禄16号集合资金信托计划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0101000000000645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产品支付关联方托管费0.00元，支付关联方代销费53,069.31元。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