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DCC" w:rsidRDefault="00B51DCC">
      <w:pPr>
        <w:spacing w:before="240" w:after="72" w:line="360" w:lineRule="auto"/>
        <w:rPr>
          <w:rFonts w:asciiTheme="minorEastAsia" w:eastAsiaTheme="minorEastAsia" w:hAnsiTheme="minorEastAsia"/>
        </w:rPr>
      </w:pPr>
    </w:p>
    <w:p w:rsidR="00B51DCC" w:rsidRDefault="00B51DCC">
      <w:pPr>
        <w:spacing w:before="240" w:after="72" w:line="360" w:lineRule="auto"/>
        <w:rPr>
          <w:rFonts w:asciiTheme="minorEastAsia" w:eastAsiaTheme="minorEastAsia" w:hAnsiTheme="minorEastAsia"/>
        </w:rPr>
      </w:pPr>
    </w:p>
    <w:p w:rsidR="00B51DCC" w:rsidRDefault="00B51DCC">
      <w:pPr>
        <w:spacing w:before="240" w:after="72" w:line="360" w:lineRule="auto"/>
        <w:rPr>
          <w:rFonts w:asciiTheme="minorEastAsia" w:eastAsiaTheme="minorEastAsia" w:hAnsiTheme="minorEastAsia"/>
        </w:rPr>
      </w:pPr>
    </w:p>
    <w:p w:rsidR="00B51DCC" w:rsidRDefault="003B0F4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南银理财珠联璧合鑫逸稳半年</w:t>
      </w:r>
      <w:r>
        <w:rPr>
          <w:rFonts w:ascii="方正黑体简体" w:eastAsia="方正黑体简体" w:hAnsi="Calibri" w:hint="eastAsia"/>
          <w:sz w:val="36"/>
        </w:rPr>
        <w:t>55</w:t>
      </w:r>
      <w:r>
        <w:rPr>
          <w:rFonts w:ascii="方正黑体简体" w:eastAsia="方正黑体简体" w:hAnsi="Calibri" w:hint="eastAsia"/>
          <w:sz w:val="36"/>
        </w:rPr>
        <w:t>期封闭式公募人民币理财产品</w:t>
      </w:r>
    </w:p>
    <w:p w:rsidR="00B51DCC" w:rsidRDefault="003B0F4C">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B51DCC" w:rsidRDefault="00B51DCC">
      <w:pPr>
        <w:spacing w:before="240" w:after="72" w:line="360" w:lineRule="auto"/>
        <w:jc w:val="center"/>
        <w:rPr>
          <w:rFonts w:ascii="方正黑体简体" w:eastAsia="方正黑体简体"/>
          <w:sz w:val="36"/>
          <w:szCs w:val="36"/>
        </w:rPr>
      </w:pPr>
    </w:p>
    <w:p w:rsidR="00B51DCC" w:rsidRDefault="00B51DCC">
      <w:pPr>
        <w:spacing w:before="240" w:after="72" w:line="360" w:lineRule="auto"/>
        <w:jc w:val="center"/>
        <w:rPr>
          <w:rFonts w:ascii="方正黑体简体" w:eastAsia="方正黑体简体"/>
          <w:sz w:val="36"/>
          <w:szCs w:val="36"/>
        </w:rPr>
      </w:pPr>
    </w:p>
    <w:p w:rsidR="00B51DCC" w:rsidRDefault="00B51DCC">
      <w:pPr>
        <w:spacing w:before="240" w:after="72" w:line="360" w:lineRule="auto"/>
        <w:jc w:val="center"/>
        <w:rPr>
          <w:rFonts w:ascii="方正黑体简体" w:eastAsia="方正黑体简体"/>
          <w:sz w:val="36"/>
          <w:szCs w:val="36"/>
        </w:rPr>
      </w:pPr>
    </w:p>
    <w:p w:rsidR="00B51DCC" w:rsidRDefault="00B51DCC">
      <w:pPr>
        <w:spacing w:before="240" w:after="72" w:line="360" w:lineRule="auto"/>
        <w:jc w:val="center"/>
        <w:rPr>
          <w:rFonts w:ascii="方正黑体简体" w:eastAsia="方正黑体简体"/>
          <w:sz w:val="36"/>
          <w:szCs w:val="36"/>
        </w:rPr>
      </w:pPr>
    </w:p>
    <w:p w:rsidR="00B51DCC" w:rsidRDefault="003B0F4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B51DCC" w:rsidRDefault="003B0F4C">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B51DCC" w:rsidRDefault="00B51DCC">
      <w:pPr>
        <w:spacing w:before="240" w:after="72" w:line="360" w:lineRule="auto"/>
        <w:rPr>
          <w:rFonts w:ascii="方正黑体简体" w:eastAsia="方正黑体简体"/>
          <w:sz w:val="36"/>
          <w:szCs w:val="36"/>
        </w:rPr>
      </w:pPr>
    </w:p>
    <w:p w:rsidR="00B51DCC" w:rsidRDefault="00B51DCC">
      <w:pPr>
        <w:spacing w:before="240" w:after="72" w:line="360" w:lineRule="auto"/>
        <w:rPr>
          <w:rFonts w:ascii="方正黑体简体" w:eastAsia="方正黑体简体"/>
          <w:sz w:val="36"/>
          <w:szCs w:val="36"/>
        </w:rPr>
      </w:pPr>
    </w:p>
    <w:p w:rsidR="00B51DCC" w:rsidRDefault="003B0F4C">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B51DCC" w:rsidRDefault="003B0F4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B51DCC" w:rsidTr="00D40B3F">
        <w:trPr>
          <w:trHeight w:val="714"/>
          <w:jc w:val="center"/>
        </w:trPr>
        <w:tc>
          <w:tcPr>
            <w:tcW w:w="2719"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南银理财珠联璧合鑫逸稳半年</w:t>
            </w:r>
            <w:r>
              <w:rPr>
                <w:rFonts w:ascii="方正仿宋简体" w:eastAsia="方正仿宋简体" w:hint="eastAsia"/>
                <w:sz w:val="24"/>
                <w:szCs w:val="24"/>
              </w:rPr>
              <w:t>55</w:t>
            </w:r>
            <w:r>
              <w:rPr>
                <w:rFonts w:ascii="方正仿宋简体" w:eastAsia="方正仿宋简体" w:hint="eastAsia"/>
                <w:sz w:val="24"/>
                <w:szCs w:val="24"/>
              </w:rPr>
              <w:t>期封闭式公募人民币理财产品</w:t>
            </w:r>
          </w:p>
        </w:tc>
      </w:tr>
      <w:tr w:rsidR="00B51DCC" w:rsidTr="00D40B3F">
        <w:trPr>
          <w:trHeight w:val="1300"/>
          <w:jc w:val="center"/>
        </w:trPr>
        <w:tc>
          <w:tcPr>
            <w:tcW w:w="2719"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Z7003223000232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B51DCC" w:rsidTr="00D40B3F">
        <w:trPr>
          <w:trHeight w:val="714"/>
          <w:jc w:val="center"/>
        </w:trPr>
        <w:tc>
          <w:tcPr>
            <w:tcW w:w="2719"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B51DCC" w:rsidTr="00D40B3F">
        <w:trPr>
          <w:trHeight w:val="714"/>
          <w:jc w:val="center"/>
        </w:trPr>
        <w:tc>
          <w:tcPr>
            <w:tcW w:w="2719"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20</w:t>
            </w:r>
            <w:r>
              <w:rPr>
                <w:rFonts w:ascii="方正仿宋简体" w:eastAsia="方正仿宋简体" w:hint="eastAsia"/>
                <w:sz w:val="24"/>
                <w:szCs w:val="24"/>
              </w:rPr>
              <w:t>日</w:t>
            </w:r>
          </w:p>
        </w:tc>
      </w:tr>
      <w:tr w:rsidR="00B51DCC" w:rsidTr="00D40B3F">
        <w:trPr>
          <w:trHeight w:val="714"/>
          <w:jc w:val="center"/>
        </w:trPr>
        <w:tc>
          <w:tcPr>
            <w:tcW w:w="2719"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301,301,992.00</w:t>
            </w:r>
            <w:r>
              <w:rPr>
                <w:rFonts w:ascii="方正仿宋简体" w:eastAsia="方正仿宋简体" w:hint="eastAsia"/>
                <w:sz w:val="24"/>
                <w:szCs w:val="24"/>
              </w:rPr>
              <w:t>份</w:t>
            </w:r>
          </w:p>
        </w:tc>
      </w:tr>
      <w:tr w:rsidR="00B51DCC" w:rsidTr="00D40B3F">
        <w:trPr>
          <w:trHeight w:val="688"/>
          <w:jc w:val="center"/>
        </w:trPr>
        <w:tc>
          <w:tcPr>
            <w:tcW w:w="2719"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平安资产管理有限责任公司</w:t>
            </w:r>
            <w:r>
              <w:rPr>
                <w:rFonts w:ascii="方正仿宋简体" w:eastAsia="方正仿宋简体" w:hint="eastAsia"/>
                <w:sz w:val="24"/>
                <w:szCs w:val="24"/>
              </w:rPr>
              <w:t>,</w:t>
            </w:r>
            <w:r>
              <w:rPr>
                <w:rFonts w:ascii="方正仿宋简体" w:eastAsia="方正仿宋简体" w:hint="eastAsia"/>
                <w:sz w:val="24"/>
                <w:szCs w:val="24"/>
              </w:rPr>
              <w:t>江苏省国际信托有限责任公司</w:t>
            </w:r>
          </w:p>
        </w:tc>
      </w:tr>
      <w:tr w:rsidR="00B51DCC" w:rsidTr="00D40B3F">
        <w:trPr>
          <w:trHeight w:val="714"/>
          <w:jc w:val="center"/>
        </w:trPr>
        <w:tc>
          <w:tcPr>
            <w:tcW w:w="2719"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B51DCC" w:rsidTr="00D40B3F">
        <w:trPr>
          <w:trHeight w:val="714"/>
          <w:jc w:val="center"/>
        </w:trPr>
        <w:tc>
          <w:tcPr>
            <w:tcW w:w="2719"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B51DCC" w:rsidRDefault="003B0F4C" w:rsidP="00D40B3F">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B51DCC" w:rsidRDefault="00B51DCC">
      <w:pPr>
        <w:spacing w:before="240" w:after="72" w:line="360" w:lineRule="auto"/>
        <w:rPr>
          <w:rFonts w:ascii="方正仿宋_GBK" w:eastAsia="方正仿宋_GBK" w:hAnsi="宋体" w:cs="宋体"/>
          <w:kern w:val="0"/>
          <w:sz w:val="24"/>
          <w:szCs w:val="24"/>
        </w:rPr>
      </w:pPr>
    </w:p>
    <w:p w:rsidR="00B51DCC" w:rsidRDefault="003B0F4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B51DCC" w:rsidRDefault="003B0F4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B51DCC" w:rsidRDefault="003B0F4C">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B51DCC">
        <w:trPr>
          <w:trHeight w:val="699"/>
          <w:jc w:val="center"/>
        </w:trPr>
        <w:tc>
          <w:tcPr>
            <w:tcW w:w="1838" w:type="dxa"/>
            <w:vMerge w:val="restart"/>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B51DCC">
        <w:trPr>
          <w:trHeight w:val="1697"/>
          <w:jc w:val="center"/>
        </w:trPr>
        <w:tc>
          <w:tcPr>
            <w:tcW w:w="1838" w:type="dxa"/>
            <w:vMerge/>
            <w:vAlign w:val="center"/>
          </w:tcPr>
          <w:p w:rsidR="00B51DCC" w:rsidRDefault="00B51DCC" w:rsidP="00D40B3F">
            <w:pPr>
              <w:spacing w:beforeLines="20" w:afterLines="20"/>
              <w:jc w:val="center"/>
              <w:rPr>
                <w:rFonts w:ascii="方正仿宋简体" w:eastAsia="方正仿宋简体"/>
                <w:sz w:val="24"/>
                <w:szCs w:val="24"/>
              </w:rPr>
            </w:pPr>
          </w:p>
        </w:tc>
        <w:tc>
          <w:tcPr>
            <w:tcW w:w="2693"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B51DC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Y70055</w:t>
            </w:r>
          </w:p>
        </w:tc>
        <w:tc>
          <w:tcPr>
            <w:tcW w:w="2693"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74,641,983.35</w:t>
            </w:r>
          </w:p>
        </w:tc>
        <w:tc>
          <w:tcPr>
            <w:tcW w:w="2410"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1.0082</w:t>
            </w:r>
          </w:p>
        </w:tc>
        <w:tc>
          <w:tcPr>
            <w:tcW w:w="2126"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1.0082</w:t>
            </w:r>
          </w:p>
        </w:tc>
      </w:tr>
      <w:tr w:rsidR="00B51DC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Y71055</w:t>
            </w:r>
          </w:p>
        </w:tc>
        <w:tc>
          <w:tcPr>
            <w:tcW w:w="2693"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152,368,010.95</w:t>
            </w:r>
          </w:p>
        </w:tc>
        <w:tc>
          <w:tcPr>
            <w:tcW w:w="2410"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1.0084</w:t>
            </w:r>
          </w:p>
        </w:tc>
        <w:tc>
          <w:tcPr>
            <w:tcW w:w="2126"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1.0084</w:t>
            </w:r>
          </w:p>
        </w:tc>
      </w:tr>
      <w:tr w:rsidR="00B51DCC">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Y72055</w:t>
            </w:r>
          </w:p>
        </w:tc>
        <w:tc>
          <w:tcPr>
            <w:tcW w:w="2693"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76,851,436.67</w:t>
            </w:r>
          </w:p>
        </w:tc>
        <w:tc>
          <w:tcPr>
            <w:tcW w:w="2410"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1.0087</w:t>
            </w:r>
          </w:p>
        </w:tc>
        <w:tc>
          <w:tcPr>
            <w:tcW w:w="2126"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1.0087</w:t>
            </w:r>
          </w:p>
        </w:tc>
      </w:tr>
    </w:tbl>
    <w:p w:rsidR="00B51DCC" w:rsidRDefault="003B0F4C">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B51DCC" w:rsidRDefault="00B51DCC">
      <w:pPr>
        <w:spacing w:before="240" w:after="72" w:line="360" w:lineRule="auto"/>
        <w:rPr>
          <w:rFonts w:ascii="方正仿宋_GBK" w:eastAsia="方正仿宋_GBK"/>
          <w:sz w:val="24"/>
          <w:szCs w:val="24"/>
        </w:rPr>
      </w:pPr>
    </w:p>
    <w:p w:rsidR="00B51DCC" w:rsidRDefault="003B0F4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B51DCC" w:rsidRDefault="003B0F4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B51DCC" w:rsidRDefault="003B0F4C">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市场预期较为一致，若收益率上行配置盘将介入，制约利率上行幅度。结合来看，倾向于认为二季度债市调整风险可控，在这种背景下，票息策略可能仍相对占优。</w:t>
      </w:r>
    </w:p>
    <w:p w:rsidR="00B51DCC" w:rsidRDefault="003B0F4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B51DCC" w:rsidRDefault="003B0F4C">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本理财产品主要投向具</w:t>
      </w:r>
      <w:r>
        <w:rPr>
          <w:rFonts w:ascii="方正仿宋简体" w:eastAsia="方正仿宋简体"/>
          <w:sz w:val="24"/>
          <w:szCs w:val="24"/>
        </w:rPr>
        <w:t>有良好流动性的标准化债券资产和非标债权资产，其中非标债权资产的投资比例不超过说明书约定的比例上限，资产到期日不晚于本理财产品的到期日，流动性风险可控。</w:t>
      </w:r>
    </w:p>
    <w:p w:rsidR="00B51DCC" w:rsidRDefault="003B0F4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B51DCC" w:rsidRDefault="003B0F4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Y70055</w:t>
      </w:r>
      <w:r>
        <w:rPr>
          <w:rFonts w:ascii="方正仿宋简体" w:eastAsia="方正仿宋简体" w:hint="eastAsia"/>
          <w:sz w:val="24"/>
          <w:szCs w:val="24"/>
        </w:rPr>
        <w:t>份额净值为</w:t>
      </w:r>
      <w:r>
        <w:rPr>
          <w:rFonts w:ascii="方正仿宋简体" w:eastAsia="方正仿宋简体" w:hint="eastAsia"/>
          <w:sz w:val="24"/>
          <w:szCs w:val="24"/>
        </w:rPr>
        <w:t>1.0082</w:t>
      </w:r>
      <w:r>
        <w:rPr>
          <w:rFonts w:ascii="方正仿宋简体" w:eastAsia="方正仿宋简体" w:hint="eastAsia"/>
          <w:sz w:val="24"/>
          <w:szCs w:val="24"/>
        </w:rPr>
        <w:t>元，</w:t>
      </w:r>
      <w:r>
        <w:rPr>
          <w:rFonts w:ascii="方正仿宋简体" w:eastAsia="方正仿宋简体" w:hint="eastAsia"/>
          <w:sz w:val="24"/>
          <w:szCs w:val="24"/>
        </w:rPr>
        <w:t>Y71055</w:t>
      </w:r>
      <w:r>
        <w:rPr>
          <w:rFonts w:ascii="方正仿宋简体" w:eastAsia="方正仿宋简体" w:hint="eastAsia"/>
          <w:sz w:val="24"/>
          <w:szCs w:val="24"/>
        </w:rPr>
        <w:t>份额净值为</w:t>
      </w:r>
      <w:r>
        <w:rPr>
          <w:rFonts w:ascii="方正仿宋简体" w:eastAsia="方正仿宋简体" w:hint="eastAsia"/>
          <w:sz w:val="24"/>
          <w:szCs w:val="24"/>
        </w:rPr>
        <w:t>1.0085</w:t>
      </w:r>
      <w:r>
        <w:rPr>
          <w:rFonts w:ascii="方正仿宋简体" w:eastAsia="方正仿宋简体" w:hint="eastAsia"/>
          <w:sz w:val="24"/>
          <w:szCs w:val="24"/>
        </w:rPr>
        <w:t>元，</w:t>
      </w:r>
      <w:r>
        <w:rPr>
          <w:rFonts w:ascii="方正仿宋简体" w:eastAsia="方正仿宋简体" w:hint="eastAsia"/>
          <w:sz w:val="24"/>
          <w:szCs w:val="24"/>
        </w:rPr>
        <w:t>Y72055</w:t>
      </w:r>
      <w:r>
        <w:rPr>
          <w:rFonts w:ascii="方正仿宋简体" w:eastAsia="方正仿宋简体" w:hint="eastAsia"/>
          <w:sz w:val="24"/>
          <w:szCs w:val="24"/>
        </w:rPr>
        <w:t>份额净值为</w:t>
      </w:r>
      <w:r>
        <w:rPr>
          <w:rFonts w:ascii="方正仿宋简体" w:eastAsia="方正仿宋简体" w:hint="eastAsia"/>
          <w:sz w:val="24"/>
          <w:szCs w:val="24"/>
        </w:rPr>
        <w:t>1.0087</w:t>
      </w:r>
      <w:r>
        <w:rPr>
          <w:rFonts w:ascii="方正仿宋简体" w:eastAsia="方正仿宋简体" w:hint="eastAsia"/>
          <w:sz w:val="24"/>
          <w:szCs w:val="24"/>
        </w:rPr>
        <w:t>元。</w:t>
      </w:r>
    </w:p>
    <w:p w:rsidR="00B51DCC" w:rsidRDefault="00B51DCC">
      <w:pPr>
        <w:spacing w:before="240" w:after="72" w:line="360" w:lineRule="auto"/>
        <w:rPr>
          <w:rFonts w:ascii="方正仿宋_GBK" w:eastAsia="方正仿宋_GBK" w:hAnsi="宋体"/>
          <w:sz w:val="24"/>
          <w:szCs w:val="24"/>
        </w:rPr>
      </w:pPr>
    </w:p>
    <w:p w:rsidR="00B51DCC" w:rsidRDefault="003B0F4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B51DCC" w:rsidRDefault="003B0F4C">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B51DC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B51DC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B51DC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B51DC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B51DC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B51DCC">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B51DCC" w:rsidRDefault="00B51DCC">
      <w:pPr>
        <w:spacing w:before="240" w:after="72" w:line="360" w:lineRule="auto"/>
        <w:rPr>
          <w:rFonts w:ascii="方正仿宋_GBK" w:eastAsia="方正仿宋_GBK"/>
          <w:sz w:val="24"/>
          <w:szCs w:val="24"/>
        </w:rPr>
      </w:pPr>
    </w:p>
    <w:p w:rsidR="00B51DCC" w:rsidRDefault="003B0F4C">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B51DCC">
        <w:trPr>
          <w:trHeight w:val="1233"/>
          <w:jc w:val="center"/>
        </w:trPr>
        <w:tc>
          <w:tcPr>
            <w:tcW w:w="750"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B51DC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ZJQTT202207200001</w:t>
            </w:r>
          </w:p>
        </w:tc>
        <w:tc>
          <w:tcPr>
            <w:tcW w:w="2712" w:type="dxa"/>
            <w:shd w:val="clear" w:color="000000" w:fill="FFFFFF"/>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江苏信托鑫盈</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号集合资金信托计划</w:t>
            </w:r>
          </w:p>
        </w:tc>
        <w:tc>
          <w:tcPr>
            <w:tcW w:w="2052" w:type="dxa"/>
            <w:shd w:val="clear" w:color="000000" w:fill="FFFFFF"/>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203,142,048.06</w:t>
            </w:r>
          </w:p>
        </w:tc>
        <w:tc>
          <w:tcPr>
            <w:tcW w:w="1807" w:type="dxa"/>
            <w:shd w:val="clear" w:color="000000" w:fill="FFFFFF"/>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66.85</w:t>
            </w:r>
          </w:p>
        </w:tc>
      </w:tr>
      <w:tr w:rsidR="00B51DCC">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ZJQTT202210120029</w:t>
            </w:r>
          </w:p>
        </w:tc>
        <w:tc>
          <w:tcPr>
            <w:tcW w:w="2712" w:type="dxa"/>
            <w:shd w:val="clear" w:color="000000" w:fill="FFFFFF"/>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平安资产如意</w:t>
            </w:r>
            <w:r>
              <w:rPr>
                <w:rFonts w:ascii="方正仿宋简体" w:eastAsia="方正仿宋简体" w:hAnsi="方正仿宋简体" w:cs="方正仿宋简体"/>
                <w:sz w:val="24"/>
              </w:rPr>
              <w:t>37</w:t>
            </w:r>
            <w:r>
              <w:rPr>
                <w:rFonts w:ascii="方正仿宋简体" w:eastAsia="方正仿宋简体" w:hAnsi="方正仿宋简体" w:cs="方正仿宋简体"/>
                <w:sz w:val="24"/>
              </w:rPr>
              <w:t>号</w:t>
            </w:r>
          </w:p>
        </w:tc>
        <w:tc>
          <w:tcPr>
            <w:tcW w:w="2052" w:type="dxa"/>
            <w:shd w:val="clear" w:color="000000" w:fill="FFFFFF"/>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100,101,355.00</w:t>
            </w:r>
          </w:p>
        </w:tc>
        <w:tc>
          <w:tcPr>
            <w:tcW w:w="1807" w:type="dxa"/>
            <w:shd w:val="clear" w:color="000000" w:fill="FFFFFF"/>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32.94</w:t>
            </w:r>
          </w:p>
        </w:tc>
      </w:tr>
    </w:tbl>
    <w:p w:rsidR="00B51DCC" w:rsidRDefault="00B51DCC">
      <w:pPr>
        <w:spacing w:before="240" w:after="72" w:line="360" w:lineRule="auto"/>
        <w:rPr>
          <w:rFonts w:ascii="方正仿宋_GBK" w:eastAsia="方正仿宋_GBK" w:hAnsi="宋体" w:cs="宋体"/>
          <w:sz w:val="24"/>
          <w:szCs w:val="24"/>
          <w:shd w:val="clear" w:color="auto" w:fill="FFFFFF"/>
        </w:rPr>
      </w:pPr>
    </w:p>
    <w:p w:rsidR="00B51DCC" w:rsidRDefault="003B0F4C">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B51DCC">
        <w:trPr>
          <w:trHeight w:val="1078"/>
          <w:jc w:val="center"/>
        </w:trPr>
        <w:tc>
          <w:tcPr>
            <w:tcW w:w="877"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B51DCC">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704"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5"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540"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383"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1271"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c>
          <w:tcPr>
            <w:tcW w:w="876"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B51DCC" w:rsidRDefault="00B51DCC">
      <w:pPr>
        <w:spacing w:before="240" w:after="72" w:line="360" w:lineRule="auto"/>
        <w:rPr>
          <w:rFonts w:ascii="方正仿宋_GBK" w:eastAsia="方正仿宋_GBK" w:hAnsi="宋体" w:cs="宋体"/>
          <w:sz w:val="24"/>
          <w:szCs w:val="24"/>
          <w:shd w:val="clear" w:color="auto" w:fill="FFFFFF"/>
        </w:rPr>
      </w:pPr>
    </w:p>
    <w:p w:rsidR="00B51DCC" w:rsidRDefault="003B0F4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B51DCC">
        <w:trPr>
          <w:trHeight w:val="584"/>
          <w:jc w:val="center"/>
        </w:trPr>
        <w:tc>
          <w:tcPr>
            <w:tcW w:w="846"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B51DCC" w:rsidRDefault="003B0F4C" w:rsidP="00D40B3F">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B51DCC">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0101050000000817</w:t>
            </w:r>
          </w:p>
        </w:tc>
        <w:tc>
          <w:tcPr>
            <w:tcW w:w="1983"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南京银行南京分行南银理财鑫逸稳半年</w:t>
            </w:r>
            <w:r>
              <w:rPr>
                <w:rFonts w:ascii="方正仿宋简体" w:eastAsia="方正仿宋简体" w:hAnsi="方正仿宋简体" w:cs="方正仿宋简体"/>
                <w:sz w:val="24"/>
              </w:rPr>
              <w:t>55</w:t>
            </w:r>
            <w:r>
              <w:rPr>
                <w:rFonts w:ascii="方正仿宋简体" w:eastAsia="方正仿宋简体" w:hAnsi="方正仿宋简体" w:cs="方正仿宋简体"/>
                <w:sz w:val="24"/>
              </w:rPr>
              <w:t>期</w:t>
            </w:r>
          </w:p>
        </w:tc>
        <w:tc>
          <w:tcPr>
            <w:tcW w:w="1988" w:type="dxa"/>
            <w:vAlign w:val="center"/>
          </w:tcPr>
          <w:p w:rsidR="00B51DCC" w:rsidRDefault="003B0F4C" w:rsidP="00D40B3F">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B51DCC" w:rsidRDefault="00B51DCC">
      <w:pPr>
        <w:spacing w:afterLines="0" w:line="360" w:lineRule="auto"/>
        <w:rPr>
          <w:rFonts w:ascii="方正仿宋_GBK" w:eastAsia="方正仿宋_GBK"/>
          <w:sz w:val="24"/>
          <w:szCs w:val="24"/>
        </w:rPr>
      </w:pPr>
    </w:p>
    <w:p w:rsidR="00B51DCC" w:rsidRDefault="00B51DCC">
      <w:pPr>
        <w:spacing w:before="240" w:after="72" w:line="360" w:lineRule="auto"/>
        <w:jc w:val="center"/>
        <w:rPr>
          <w:rFonts w:ascii="方正仿宋_GBK" w:eastAsia="方正仿宋_GBK"/>
          <w:b/>
          <w:sz w:val="24"/>
          <w:szCs w:val="24"/>
        </w:rPr>
      </w:pPr>
    </w:p>
    <w:p w:rsidR="00B51DCC" w:rsidRDefault="003B0F4C">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B51DCC" w:rsidRDefault="003B0F4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B51DCC" w:rsidRDefault="003B0F4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B51DCC" w:rsidRDefault="003B0F4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B51DCC" w:rsidRDefault="003B0F4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B51DCC" w:rsidRDefault="003B0F4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B51DCC" w:rsidRDefault="003B0F4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D40B3F" w:rsidRPr="00D40B3F">
        <w:rPr>
          <w:rFonts w:ascii="方正仿宋简体" w:eastAsia="方正仿宋简体"/>
          <w:sz w:val="24"/>
          <w:szCs w:val="24"/>
        </w:rPr>
        <w:t>5,607.08</w:t>
      </w:r>
      <w:r>
        <w:rPr>
          <w:rFonts w:ascii="方正仿宋简体" w:eastAsia="方正仿宋简体" w:hint="eastAsia"/>
          <w:sz w:val="24"/>
          <w:szCs w:val="24"/>
        </w:rPr>
        <w:t>元。</w:t>
      </w:r>
    </w:p>
    <w:p w:rsidR="00B51DCC" w:rsidRDefault="003B0F4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B51DCC" w:rsidRDefault="003B0F4C">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报告期内，产品未发生重大关联交易。</w:t>
      </w:r>
    </w:p>
    <w:p w:rsidR="00B51DCC" w:rsidRDefault="00B51DCC">
      <w:pPr>
        <w:spacing w:before="240" w:after="72" w:line="360" w:lineRule="auto"/>
        <w:rPr>
          <w:rFonts w:ascii="方正仿宋_GBK" w:eastAsia="方正仿宋_GBK" w:hAnsi="宋体" w:cs="宋体"/>
          <w:kern w:val="0"/>
          <w:sz w:val="24"/>
          <w:szCs w:val="24"/>
        </w:rPr>
      </w:pPr>
    </w:p>
    <w:p w:rsidR="00B51DCC" w:rsidRDefault="00B51DCC">
      <w:pPr>
        <w:spacing w:before="240" w:after="72" w:line="360" w:lineRule="auto"/>
        <w:rPr>
          <w:rFonts w:ascii="方正仿宋_GBK" w:eastAsia="方正仿宋_GBK" w:hAnsi="宋体" w:cs="宋体"/>
          <w:kern w:val="0"/>
          <w:sz w:val="24"/>
          <w:szCs w:val="24"/>
        </w:rPr>
      </w:pPr>
    </w:p>
    <w:p w:rsidR="00B51DCC" w:rsidRDefault="00B51DCC">
      <w:pPr>
        <w:spacing w:before="240" w:after="72" w:line="360" w:lineRule="auto"/>
        <w:jc w:val="right"/>
        <w:rPr>
          <w:rFonts w:ascii="方正仿宋_GBK" w:eastAsia="方正仿宋_GBK"/>
          <w:b/>
          <w:sz w:val="24"/>
          <w:szCs w:val="24"/>
        </w:rPr>
      </w:pPr>
    </w:p>
    <w:p w:rsidR="00B51DCC" w:rsidRDefault="003B0F4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B51DCC" w:rsidRDefault="003B0F4C">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B51DCC" w:rsidRDefault="00B51DCC">
      <w:pPr>
        <w:spacing w:before="240" w:after="72" w:line="360" w:lineRule="auto"/>
        <w:rPr>
          <w:rFonts w:ascii="方正仿宋_GBK" w:eastAsia="方正仿宋_GBK"/>
          <w:sz w:val="24"/>
          <w:szCs w:val="24"/>
        </w:rPr>
      </w:pPr>
    </w:p>
    <w:p w:rsidR="00B51DCC" w:rsidRDefault="00B51DCC">
      <w:pPr>
        <w:spacing w:before="240" w:after="72" w:line="360" w:lineRule="auto"/>
        <w:rPr>
          <w:rFonts w:ascii="方正仿宋_GBK" w:eastAsia="方正仿宋_GBK"/>
          <w:sz w:val="24"/>
          <w:szCs w:val="24"/>
        </w:rPr>
      </w:pPr>
    </w:p>
    <w:sectPr w:rsidR="00B51DCC" w:rsidSect="00B51DCC">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F4C" w:rsidRDefault="003B0F4C" w:rsidP="00D40B3F">
      <w:pPr>
        <w:spacing w:after="72"/>
      </w:pPr>
      <w:r>
        <w:separator/>
      </w:r>
    </w:p>
  </w:endnote>
  <w:endnote w:type="continuationSeparator" w:id="1">
    <w:p w:rsidR="003B0F4C" w:rsidRDefault="003B0F4C" w:rsidP="00D40B3F">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CC" w:rsidRDefault="00B51DCC">
    <w:pPr>
      <w:pStyle w:val="a3"/>
      <w:framePr w:wrap="around" w:vAnchor="text" w:hAnchor="margin" w:xAlign="center" w:y="1"/>
      <w:spacing w:after="72"/>
      <w:rPr>
        <w:rStyle w:val="a6"/>
      </w:rPr>
    </w:pPr>
    <w:r>
      <w:fldChar w:fldCharType="begin"/>
    </w:r>
    <w:r w:rsidR="003B0F4C">
      <w:rPr>
        <w:rStyle w:val="a6"/>
      </w:rPr>
      <w:instrText xml:space="preserve">PAGE  </w:instrText>
    </w:r>
    <w:r>
      <w:fldChar w:fldCharType="end"/>
    </w:r>
  </w:p>
  <w:p w:rsidR="00B51DCC" w:rsidRDefault="00B51DCC">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CC" w:rsidRDefault="00B51DCC">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CC" w:rsidRDefault="00B51DCC">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F4C" w:rsidRDefault="003B0F4C" w:rsidP="00D40B3F">
      <w:pPr>
        <w:spacing w:after="72"/>
      </w:pPr>
      <w:r>
        <w:separator/>
      </w:r>
    </w:p>
  </w:footnote>
  <w:footnote w:type="continuationSeparator" w:id="1">
    <w:p w:rsidR="003B0F4C" w:rsidRDefault="003B0F4C" w:rsidP="00D40B3F">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CC" w:rsidRDefault="00B51DCC">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CC" w:rsidRDefault="00B51DCC">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DCC" w:rsidRDefault="00B51DCC">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0F4C"/>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1DCC"/>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0B3F"/>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DCC"/>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51DCC"/>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B51DCC"/>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B51DCC"/>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B51DCC"/>
  </w:style>
  <w:style w:type="character" w:customStyle="1" w:styleId="Char">
    <w:name w:val="页脚 Char"/>
    <w:link w:val="a3"/>
    <w:uiPriority w:val="99"/>
    <w:qFormat/>
    <w:locked/>
    <w:rsid w:val="00B51DCC"/>
    <w:rPr>
      <w:rFonts w:ascii="Times New Roman" w:hAnsi="Times New Roman" w:cs="Times New Roman"/>
      <w:sz w:val="18"/>
      <w:szCs w:val="18"/>
    </w:rPr>
  </w:style>
  <w:style w:type="character" w:customStyle="1" w:styleId="Char1">
    <w:name w:val="页脚 Char1"/>
    <w:basedOn w:val="a0"/>
    <w:uiPriority w:val="99"/>
    <w:semiHidden/>
    <w:qFormat/>
    <w:rsid w:val="00B51DCC"/>
    <w:rPr>
      <w:rFonts w:ascii="Times New Roman" w:eastAsia="宋体" w:hAnsi="Times New Roman" w:cs="Times New Roman"/>
      <w:sz w:val="18"/>
      <w:szCs w:val="18"/>
    </w:rPr>
  </w:style>
  <w:style w:type="paragraph" w:customStyle="1" w:styleId="biaogeleft">
    <w:name w:val="biaoge_left"/>
    <w:basedOn w:val="a"/>
    <w:qFormat/>
    <w:rsid w:val="00B51DC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B51DCC"/>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B51DCC"/>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B51DCC"/>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B51DCC"/>
    <w:pPr>
      <w:jc w:val="both"/>
    </w:pPr>
    <w:rPr>
      <w:rFonts w:ascii="Times New Roman" w:eastAsia="宋体" w:hAnsi="Times New Roman" w:cs="Times New Roman"/>
      <w:kern w:val="2"/>
      <w:sz w:val="21"/>
      <w:szCs w:val="21"/>
    </w:rPr>
  </w:style>
  <w:style w:type="paragraph" w:customStyle="1" w:styleId="biaogeright">
    <w:name w:val="biaoge_right"/>
    <w:basedOn w:val="a"/>
    <w:qFormat/>
    <w:rsid w:val="00B51DCC"/>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B51DCC"/>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B51DCC"/>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B51DCC"/>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B51DC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97836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330</Words>
  <Characters>1882</Characters>
  <Application>Microsoft Office Word</Application>
  <DocSecurity>0</DocSecurity>
  <Lines>15</Lines>
  <Paragraphs>4</Paragraphs>
  <ScaleCrop>false</ScaleCrop>
  <Company>cc</Company>
  <LinksUpToDate>false</LinksUpToDate>
  <CharactersWithSpaces>2208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