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820,008,510.00份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181,387,255.47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281,958,534.95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245,058,159.52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136,157,028.43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截至报告期末，本产品Y30122份额净值为1.0290元，Y31122份额净值为1.0297元，Y32122份额净值为1.0305元，Y33122份额净值为1.0313元。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275,855,487.10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163,958,219.04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23881618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23扬州庆和瑞03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23淮安投控02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淮安市投资控股集团有限公司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23淮安投控02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南京溧水经济技术开发集团有限公司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23溧水经开01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扬州庆和瑞投资建设有限公司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23扬州庆和瑞03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0101020000000606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产品支付关联方托管费0.00元，支付关联方代销费125,404.18元。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