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微软雅黑" w:hAnsi="微软雅黑" w:eastAsia="微软雅黑" w:cs="微软雅黑"/>
          <w:b/>
          <w:bCs/>
          <w:kern w:val="0"/>
          <w:sz w:val="22"/>
          <w:szCs w:val="22"/>
          <w:lang w:bidi="ar"/>
        </w:rPr>
      </w:pPr>
      <w:r>
        <w:rPr>
          <w:rFonts w:hint="eastAsia" w:ascii="微软雅黑" w:hAnsi="微软雅黑" w:eastAsia="微软雅黑" w:cs="微软雅黑"/>
          <w:b/>
          <w:bCs/>
          <w:kern w:val="0"/>
          <w:sz w:val="22"/>
          <w:szCs w:val="22"/>
          <w:lang w:bidi="ar"/>
        </w:rPr>
        <w:t>厦门银行个人业务收费标准</w:t>
      </w:r>
    </w:p>
    <w:p>
      <w:pPr>
        <w:widowControl/>
        <w:spacing w:line="240" w:lineRule="exact"/>
        <w:jc w:val="center"/>
        <w:textAlignment w:val="center"/>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注：除特别标注外，本收费标准适用于个人客户；除特别标注外，本收费标准及相关优惠长期有效；除特别标注外，本收费标准自2024年4月10日起生效</w:t>
      </w:r>
    </w:p>
    <w:p>
      <w:pPr>
        <w:widowControl/>
        <w:spacing w:line="240" w:lineRule="exact"/>
        <w:jc w:val="center"/>
        <w:textAlignment w:val="center"/>
        <w:rPr>
          <w:rFonts w:ascii="微软雅黑" w:hAnsi="微软雅黑" w:eastAsia="微软雅黑" w:cs="微软雅黑"/>
          <w:kern w:val="0"/>
          <w:sz w:val="18"/>
          <w:szCs w:val="18"/>
          <w:lang w:bidi="ar"/>
        </w:rPr>
      </w:pPr>
    </w:p>
    <w:tbl>
      <w:tblPr>
        <w:tblStyle w:val="3"/>
        <w:tblW w:w="15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7"/>
        <w:gridCol w:w="817"/>
        <w:gridCol w:w="1600"/>
        <w:gridCol w:w="3380"/>
        <w:gridCol w:w="1400"/>
        <w:gridCol w:w="2160"/>
        <w:gridCol w:w="1110"/>
        <w:gridCol w:w="980"/>
        <w:gridCol w:w="960"/>
        <w:gridCol w:w="1000"/>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blHeader/>
          <w:jc w:val="center"/>
        </w:trPr>
        <w:tc>
          <w:tcPr>
            <w:tcW w:w="717"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kern w:val="0"/>
                <w:sz w:val="16"/>
                <w:szCs w:val="16"/>
                <w:lang w:bidi="ar"/>
              </w:rPr>
            </w:pPr>
            <w:r>
              <w:rPr>
                <w:rFonts w:hint="eastAsia" w:ascii="微软雅黑" w:hAnsi="微软雅黑" w:eastAsia="微软雅黑" w:cs="微软雅黑"/>
                <w:b/>
                <w:bCs/>
                <w:kern w:val="0"/>
                <w:sz w:val="16"/>
                <w:szCs w:val="16"/>
                <w:lang w:bidi="ar"/>
              </w:rPr>
              <w:t>业务/服务</w:t>
            </w:r>
          </w:p>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类型</w:t>
            </w:r>
          </w:p>
        </w:tc>
        <w:tc>
          <w:tcPr>
            <w:tcW w:w="817"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编号</w:t>
            </w:r>
          </w:p>
        </w:tc>
        <w:tc>
          <w:tcPr>
            <w:tcW w:w="160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服务/收费项目</w:t>
            </w:r>
          </w:p>
        </w:tc>
        <w:tc>
          <w:tcPr>
            <w:tcW w:w="338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服务/收费内容</w:t>
            </w:r>
          </w:p>
        </w:tc>
        <w:tc>
          <w:tcPr>
            <w:tcW w:w="3560" w:type="dxa"/>
            <w:gridSpan w:val="2"/>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服务价格及覆盖范围</w:t>
            </w:r>
            <w:r>
              <w:rPr>
                <w:rFonts w:hint="eastAsia" w:ascii="微软雅黑" w:hAnsi="微软雅黑" w:eastAsia="微软雅黑" w:cs="微软雅黑"/>
                <w:b/>
                <w:bCs/>
                <w:kern w:val="0"/>
                <w:sz w:val="16"/>
                <w:szCs w:val="16"/>
                <w:lang w:bidi="ar"/>
              </w:rPr>
              <w:br w:type="textWrapping"/>
            </w:r>
            <w:r>
              <w:rPr>
                <w:rFonts w:hint="eastAsia" w:ascii="微软雅黑" w:hAnsi="微软雅黑" w:eastAsia="微软雅黑" w:cs="微软雅黑"/>
                <w:b/>
                <w:bCs/>
                <w:kern w:val="0"/>
                <w:sz w:val="16"/>
                <w:szCs w:val="16"/>
                <w:lang w:bidi="ar"/>
              </w:rPr>
              <w:t>(若未特别标注的，覆盖范围为全行)</w:t>
            </w:r>
          </w:p>
        </w:tc>
        <w:tc>
          <w:tcPr>
            <w:tcW w:w="4050" w:type="dxa"/>
            <w:gridSpan w:val="4"/>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适用客户类型及收费标准</w:t>
            </w:r>
            <w:r>
              <w:rPr>
                <w:rFonts w:hint="eastAsia" w:ascii="微软雅黑" w:hAnsi="微软雅黑" w:eastAsia="微软雅黑" w:cs="微软雅黑"/>
                <w:b/>
                <w:bCs/>
                <w:kern w:val="0"/>
                <w:sz w:val="16"/>
                <w:szCs w:val="16"/>
                <w:lang w:bidi="ar"/>
              </w:rPr>
              <w:br w:type="textWrapping"/>
            </w:r>
            <w:r>
              <w:rPr>
                <w:rFonts w:hint="eastAsia" w:ascii="微软雅黑" w:hAnsi="微软雅黑" w:eastAsia="微软雅黑" w:cs="微软雅黑"/>
                <w:b/>
                <w:bCs/>
                <w:kern w:val="0"/>
                <w:sz w:val="16"/>
                <w:szCs w:val="16"/>
                <w:lang w:bidi="ar"/>
              </w:rPr>
              <w:t>(标注为"/"的，按服务价格收费)</w:t>
            </w:r>
          </w:p>
        </w:tc>
        <w:tc>
          <w:tcPr>
            <w:tcW w:w="1183"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定价</w:t>
            </w:r>
            <w:r>
              <w:rPr>
                <w:rFonts w:hint="eastAsia" w:ascii="微软雅黑" w:hAnsi="微软雅黑" w:eastAsia="微软雅黑" w:cs="微软雅黑"/>
                <w:b/>
                <w:bCs/>
                <w:kern w:val="0"/>
                <w:sz w:val="16"/>
                <w:szCs w:val="16"/>
                <w:lang w:bidi="ar"/>
              </w:rPr>
              <w:br w:type="textWrapping"/>
            </w:r>
            <w:r>
              <w:rPr>
                <w:rFonts w:hint="eastAsia" w:ascii="微软雅黑" w:hAnsi="微软雅黑" w:eastAsia="微软雅黑" w:cs="微软雅黑"/>
                <w:b/>
                <w:bCs/>
                <w:kern w:val="0"/>
                <w:sz w:val="16"/>
                <w:szCs w:val="16"/>
                <w:lang w:bidi="ar"/>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b/>
                <w:bCs/>
                <w:sz w:val="16"/>
                <w:szCs w:val="16"/>
              </w:rPr>
            </w:pPr>
          </w:p>
        </w:tc>
        <w:tc>
          <w:tcPr>
            <w:tcW w:w="8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b/>
                <w:bCs/>
                <w:sz w:val="16"/>
                <w:szCs w:val="16"/>
              </w:rPr>
            </w:pPr>
          </w:p>
        </w:tc>
        <w:tc>
          <w:tcPr>
            <w:tcW w:w="16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b/>
                <w:bCs/>
                <w:sz w:val="16"/>
                <w:szCs w:val="16"/>
              </w:rPr>
            </w:pPr>
          </w:p>
        </w:tc>
        <w:tc>
          <w:tcPr>
            <w:tcW w:w="33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b/>
                <w:bCs/>
                <w:sz w:val="16"/>
                <w:szCs w:val="16"/>
              </w:rPr>
            </w:pPr>
          </w:p>
        </w:tc>
        <w:tc>
          <w:tcPr>
            <w:tcW w:w="3560" w:type="dxa"/>
            <w:gridSpan w:val="2"/>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b/>
                <w:bCs/>
                <w:sz w:val="16"/>
                <w:szCs w:val="16"/>
              </w:rPr>
            </w:pP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大众</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创富</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财富</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b/>
                <w:bCs/>
                <w:sz w:val="16"/>
                <w:szCs w:val="16"/>
              </w:rPr>
            </w:pPr>
            <w:r>
              <w:rPr>
                <w:rFonts w:hint="eastAsia" w:ascii="微软雅黑" w:hAnsi="微软雅黑" w:eastAsia="微软雅黑" w:cs="微软雅黑"/>
                <w:b/>
                <w:bCs/>
                <w:kern w:val="0"/>
                <w:sz w:val="16"/>
                <w:szCs w:val="16"/>
                <w:lang w:bidi="ar"/>
              </w:rPr>
              <w:t>私行</w:t>
            </w: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b/>
                <w:bCs/>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0" w:type="auto"/>
            <w:vMerge w:val="restart"/>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挂失</w:t>
            </w: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G001</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存单（存折）挂失</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为个人客户办理存单、存折内存款的止付</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手续费5元/笔</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G002</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借记卡挂失</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止付借记卡内存款</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手续费10元/笔</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717"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境内</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取款</w:t>
            </w:r>
          </w:p>
        </w:tc>
        <w:tc>
          <w:tcPr>
            <w:tcW w:w="817" w:type="dxa"/>
            <w:vMerge w:val="restart"/>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QK001</w:t>
            </w:r>
          </w:p>
        </w:tc>
        <w:tc>
          <w:tcPr>
            <w:tcW w:w="16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ATM跨行取款（境内）</w:t>
            </w:r>
          </w:p>
        </w:tc>
        <w:tc>
          <w:tcPr>
            <w:tcW w:w="338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ATM境内跨行取款</w:t>
            </w:r>
          </w:p>
        </w:tc>
        <w:tc>
          <w:tcPr>
            <w:tcW w:w="14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3.3元/笔</w:t>
            </w:r>
          </w:p>
        </w:tc>
        <w:tc>
          <w:tcPr>
            <w:tcW w:w="216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开卡机构在厦门地区</w:t>
            </w:r>
          </w:p>
        </w:tc>
        <w:tc>
          <w:tcPr>
            <w:tcW w:w="111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每月每卡前5笔免费，超出按标准收费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14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216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开卡机构在福州、泉州、重庆、漳州、南平、莆田、宁德、三明、龙岩地区</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转账</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业务</w:t>
            </w:r>
          </w:p>
        </w:tc>
        <w:tc>
          <w:tcPr>
            <w:tcW w:w="817" w:type="dxa"/>
            <w:vMerge w:val="restart"/>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Z001</w:t>
            </w:r>
          </w:p>
        </w:tc>
        <w:tc>
          <w:tcPr>
            <w:tcW w:w="16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电子渠道转账</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个人网银、个人手机银行本行账户间转账</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1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8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个人网银、个人手机银行跨行转账</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5万以下，2元/笔</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5万(含)-10万，10元/笔</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10万(含)-50万，15元/笔</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50万(含)以上，20元/笔</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收款业务，使用个人网银通过网银互联渠道（即超级网银）向他行账户进行主动收款服务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2元/笔</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restart"/>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Z002</w:t>
            </w:r>
          </w:p>
        </w:tc>
        <w:tc>
          <w:tcPr>
            <w:tcW w:w="16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ATM跨行转账</w:t>
            </w:r>
          </w:p>
        </w:tc>
        <w:tc>
          <w:tcPr>
            <w:tcW w:w="338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ATM境内跨行转账</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0.2万元(含)以下，1.5元/笔；</w:t>
            </w:r>
          </w:p>
        </w:tc>
        <w:tc>
          <w:tcPr>
            <w:tcW w:w="111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0.2万元-1万元(含)，3元/笔；</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1万元以上，5元/笔；</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restart"/>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Z003</w:t>
            </w:r>
          </w:p>
        </w:tc>
        <w:tc>
          <w:tcPr>
            <w:tcW w:w="16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个人跨行柜台转账汇款手续费</w:t>
            </w:r>
          </w:p>
        </w:tc>
        <w:tc>
          <w:tcPr>
            <w:tcW w:w="338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通过柜台、智能柜台将个人客户的资金从本行账户（不含信用卡）转移到其他银行（含同城和异地）的账户。</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0.2万元(含)以下，2元/笔</w:t>
            </w:r>
          </w:p>
        </w:tc>
        <w:tc>
          <w:tcPr>
            <w:tcW w:w="111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按服务价格50%收取</w:t>
            </w:r>
          </w:p>
        </w:tc>
        <w:tc>
          <w:tcPr>
            <w:tcW w:w="96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0.2万元-0.5万元(含)，5元/笔</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0.5万元-1万元(含)，10元/笔</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1万元-5万元(含)，15元/笔</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5万元以上，每笔按汇划金额的0.03%收取，最高不超过50元</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Z004</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个人现金汇款手续费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将个人客户现金汇入异地本行账户或汇入其他银行（含同城和异地）的账户</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本行现金汇款免费，跨行现金汇款按汇款金额的0.5％收取手续费，最高50元</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717"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借记卡业务</w:t>
            </w:r>
          </w:p>
        </w:tc>
        <w:tc>
          <w:tcPr>
            <w:tcW w:w="817" w:type="dxa"/>
            <w:vMerge w:val="restart"/>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J001</w:t>
            </w:r>
          </w:p>
        </w:tc>
        <w:tc>
          <w:tcPr>
            <w:tcW w:w="16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IC借记卡新卡工本费</w:t>
            </w:r>
          </w:p>
        </w:tc>
        <w:tc>
          <w:tcPr>
            <w:tcW w:w="338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借记卡新开户</w:t>
            </w:r>
          </w:p>
        </w:tc>
        <w:tc>
          <w:tcPr>
            <w:tcW w:w="14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10元/笔</w:t>
            </w:r>
          </w:p>
        </w:tc>
        <w:tc>
          <w:tcPr>
            <w:tcW w:w="216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厦门</w:t>
            </w:r>
          </w:p>
        </w:tc>
        <w:tc>
          <w:tcPr>
            <w:tcW w:w="111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薪资代发客户免费，其他大众客户按标准收费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14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216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福州、泉州、重庆、漳州、南平、莆田、宁德、三明、龙岩</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IC借记卡换卡工本费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正常/损坏/到期更换IC卡</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（距到期日1年以内的卡片换卡及已过期的卡片换卡视为到期换卡）；</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E通联名卡客户除外</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10元/笔</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（其中IC借记卡到期换卡免费）</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restart"/>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J002</w:t>
            </w:r>
          </w:p>
        </w:tc>
        <w:tc>
          <w:tcPr>
            <w:tcW w:w="16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借记卡函邮寄费</w:t>
            </w:r>
          </w:p>
        </w:tc>
        <w:tc>
          <w:tcPr>
            <w:tcW w:w="338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为借记卡持卡人提供凭证邮寄快递服务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邮寄至大陆10元/张/次</w:t>
            </w:r>
          </w:p>
        </w:tc>
        <w:tc>
          <w:tcPr>
            <w:tcW w:w="111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台籍客户免费，其他大众客户按标准收费</w:t>
            </w:r>
          </w:p>
        </w:tc>
        <w:tc>
          <w:tcPr>
            <w:tcW w:w="98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邮寄至香港30元/张/次</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邮寄至澳门60元/张/次</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邮寄至台湾80元/张/次</w:t>
            </w:r>
          </w:p>
        </w:tc>
        <w:tc>
          <w:tcPr>
            <w:tcW w:w="111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8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96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000"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1183"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J003</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借记卡个性化卡面服务</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持卡人自定义卡面制卡（含邮寄）</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50元/张/次</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免费（需提前联系客户经理领取优惠券）</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717"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电子银行业务</w:t>
            </w: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D001</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借记卡短信通知费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个人借记卡资金变动短信通知</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ascii="微软雅黑" w:hAnsi="微软雅黑" w:eastAsia="微软雅黑" w:cs="微软雅黑"/>
                <w:kern w:val="0"/>
                <w:sz w:val="16"/>
                <w:szCs w:val="16"/>
                <w:lang w:bidi="ar"/>
              </w:rPr>
              <w:t>个人借记卡交易单笔300 元（不含）以下短信通知，3元/卡/月；</w:t>
            </w:r>
          </w:p>
          <w:p>
            <w:pPr>
              <w:widowControl/>
              <w:spacing w:line="240" w:lineRule="exact"/>
              <w:jc w:val="left"/>
              <w:textAlignment w:val="center"/>
              <w:rPr>
                <w:rFonts w:ascii="微软雅黑" w:hAnsi="微软雅黑" w:eastAsia="微软雅黑" w:cs="微软雅黑"/>
                <w:kern w:val="0"/>
                <w:sz w:val="16"/>
                <w:szCs w:val="16"/>
                <w:lang w:bidi="ar"/>
              </w:rPr>
            </w:pPr>
            <w:r>
              <w:rPr>
                <w:rFonts w:ascii="微软雅黑" w:hAnsi="微软雅黑" w:eastAsia="微软雅黑" w:cs="微软雅黑"/>
                <w:kern w:val="0"/>
                <w:sz w:val="16"/>
                <w:szCs w:val="16"/>
                <w:lang w:bidi="ar"/>
              </w:rPr>
              <w:t>个人借记卡交易单笔300元（包含）及以上短信通知，免费。</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60岁及以上客户，免费；</w:t>
            </w:r>
          </w:p>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其他客户按标准收费。</w:t>
            </w:r>
          </w:p>
          <w:p>
            <w:pPr>
              <w:widowControl/>
              <w:spacing w:line="240" w:lineRule="exact"/>
              <w:jc w:val="center"/>
              <w:textAlignment w:val="center"/>
              <w:rPr>
                <w:rFonts w:ascii="微软雅黑" w:hAnsi="微软雅黑" w:eastAsia="微软雅黑" w:cs="微软雅黑"/>
                <w:sz w:val="16"/>
                <w:szCs w:val="16"/>
              </w:rPr>
            </w:pP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restart"/>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D002</w:t>
            </w:r>
          </w:p>
        </w:tc>
        <w:tc>
          <w:tcPr>
            <w:tcW w:w="16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个人网银工本费</w:t>
            </w:r>
          </w:p>
        </w:tc>
        <w:tc>
          <w:tcPr>
            <w:tcW w:w="338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个人网银的USBKEY费用</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二代USBKEY工本费，30元/个</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新开通个人网银、遗失更换、损坏更换、到期更换均免费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个人网银的令牌工本费用</w:t>
            </w:r>
          </w:p>
        </w:tc>
        <w:tc>
          <w:tcPr>
            <w:tcW w:w="14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30元/个</w:t>
            </w:r>
          </w:p>
        </w:tc>
        <w:tc>
          <w:tcPr>
            <w:tcW w:w="216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全行</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遗失更换、损坏更换、到期更换免费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14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216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厦门地区新开通个人网银</w:t>
            </w:r>
          </w:p>
        </w:tc>
        <w:tc>
          <w:tcPr>
            <w:tcW w:w="111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薪资代发客户免费，其他大众客户按标准收费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14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216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福州、泉州、重庆、漳州、南平、莆田、宁德、三明、龙岩地区新开通个人网银</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D003</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个人网银服务费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个人网银数字证书年服务费</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8元/年/张</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restart"/>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D004</w:t>
            </w:r>
          </w:p>
        </w:tc>
        <w:tc>
          <w:tcPr>
            <w:tcW w:w="16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SIMeID签发费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SIMeID贴膜卡费用</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SIMeID贴膜卡工本费，60 元/张</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SIMeID贴膜卡证书签发费用</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SIMeID证书签发费，2元/张</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D005</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eID认证服务费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手机银行eID大额转账认证服务年费</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eID网络身份认证基础服务年费，8元/年/张</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D006</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网络支付业务</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客户与厦门银行签订网络支付业务合作协议，通过厦门银行为其提供网络支付服务，合作内容如下：</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收款类：客户或者用户向厦门银行提交收款指令，厦门银行从用户指定账户请求收款并向其另一指定账户支付款项。</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付款类：客户向厦门银行指定账户转入代付资金并提交付款指令，厦门银行将对应代付资金划付至客户指定的企业或个人银行账户。</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认证类：客户在获得用户(“被认证人”)的合法授权后，将需要识别的银行卡要素或身份要素提交至厦门银行，厦门银行通过合法的第三方渠道进行认证并将结果反馈给客户。</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手续费按照协议定价收取（面向个人客户和公司客户收取）</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D007</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虚拟预付卡</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虚拟预付卡充值过程中根据充值成功的到账金额收取一定比例的充值服务费</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单笔充值成功到账金额的3.5%（2023年11月21日生效，如有调整，以实际上线时间为准）</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17"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财富管理业务</w:t>
            </w: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LC001</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个人自营理财业务</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为个人客户提供厦门银行自营理财服务</w:t>
            </w:r>
          </w:p>
        </w:tc>
        <w:tc>
          <w:tcPr>
            <w:tcW w:w="3560" w:type="dxa"/>
            <w:gridSpan w:val="2"/>
            <w:tcBorders>
              <w:tl2br w:val="nil"/>
              <w:tr2bl w:val="nil"/>
            </w:tcBorders>
            <w:shd w:val="clear" w:color="auto" w:fill="auto"/>
            <w:vAlign w:val="center"/>
          </w:tcPr>
          <w:p>
            <w:pPr>
              <w:widowControl/>
              <w:spacing w:line="240" w:lineRule="exact"/>
              <w:jc w:val="left"/>
              <w:textAlignment w:val="center"/>
            </w:pPr>
            <w:r>
              <w:rPr>
                <w:rFonts w:hint="eastAsia" w:ascii="微软雅黑" w:hAnsi="微软雅黑" w:eastAsia="微软雅黑" w:cs="微软雅黑"/>
                <w:kern w:val="0"/>
                <w:sz w:val="16"/>
                <w:szCs w:val="16"/>
                <w:lang w:bidi="ar"/>
              </w:rPr>
              <w:t>自营理财销售、管理及托管时，按协议定价向投资者收取的相关费用，包括理财产品管理费、托管费等。具体收费标准参见自营理财销售文件。</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jc w:val="center"/>
        </w:trPr>
        <w:tc>
          <w:tcPr>
            <w:tcW w:w="717" w:type="dxa"/>
            <w:vMerge w:val="continue"/>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LC002</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个人财富管理业务</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为个人客户提供财富管理服务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代理销售各类财富管理产品，包括但不限于银行理财产品、银行理财子公司产品、保险、基金、信托计划、资管计划等。我行及产品管理人按照产品合同约定向投资者收取相关费用，包括但不限于产品认申购费、产品管理费、投资顾问费、产品托管费等，具体收费标准详见代销产品合同及销售文件。</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0" w:hRule="atLeast"/>
          <w:jc w:val="center"/>
        </w:trPr>
        <w:tc>
          <w:tcPr>
            <w:tcW w:w="717" w:type="dxa"/>
            <w:vMerge w:val="continue"/>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LC003</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黄金积存</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黄金积存卖出手续费</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面向持有个人客户收取。手续费：卖出对应金额的0.06%，保底0.01元/笔。</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717"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个人贷款业务</w:t>
            </w: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DK001</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个人委托贷款手续费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办理个人委托贷款</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手续费按照协议定价收取</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717" w:type="dxa"/>
            <w:vMerge w:val="continue"/>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DK002</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个人贷款业务受托支付转账手续费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采用受托支付方式发放贷款，将款项汇至他行账户</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普惠经营性贷款客户免费，其余个人贷款业务客户参考我行柜面跨行转账（Z003）收费标准收取</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17" w:type="dxa"/>
            <w:vMerge w:val="restart"/>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信用卡业务</w:t>
            </w:r>
          </w:p>
        </w:tc>
        <w:tc>
          <w:tcPr>
            <w:tcW w:w="817" w:type="dxa"/>
            <w:vMerge w:val="restart"/>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XY001</w:t>
            </w:r>
          </w:p>
        </w:tc>
        <w:tc>
          <w:tcPr>
            <w:tcW w:w="1600" w:type="dxa"/>
            <w:vMerge w:val="restart"/>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信用卡年费</w:t>
            </w:r>
          </w:p>
        </w:tc>
        <w:tc>
          <w:tcPr>
            <w:tcW w:w="3380" w:type="dxa"/>
            <w:vMerge w:val="restart"/>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信用卡为持卡人提供透支消费、取款、查账、还款及一定期限的免息期等服务，按信用卡的信用等级及产品类别享有相应的功能服务。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白金卡类：主卡500元/年；附属卡260元/年</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主卡及附属卡均免收年费。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金卡类：主卡200元/年；附属卡100元/年</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主卡及附属卡均免收年费。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普卡类：主卡100元/年；附属卡50元/年</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主卡及附属卡均免收年费。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XY002</w:t>
            </w:r>
          </w:p>
        </w:tc>
        <w:tc>
          <w:tcPr>
            <w:tcW w:w="1600" w:type="dxa"/>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预借现金手续费</w:t>
            </w:r>
          </w:p>
        </w:tc>
        <w:tc>
          <w:tcPr>
            <w:tcW w:w="3380" w:type="dxa"/>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当持卡人预借现金时收取</w:t>
            </w:r>
          </w:p>
        </w:tc>
        <w:tc>
          <w:tcPr>
            <w:tcW w:w="3560" w:type="dxa"/>
            <w:gridSpan w:val="2"/>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预借金额的1%，最低5元/笔</w:t>
            </w:r>
          </w:p>
        </w:tc>
        <w:tc>
          <w:tcPr>
            <w:tcW w:w="4050" w:type="dxa"/>
            <w:gridSpan w:val="4"/>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公务卡无此服务项目。其他卡种按标准收费。</w:t>
            </w:r>
          </w:p>
        </w:tc>
        <w:tc>
          <w:tcPr>
            <w:tcW w:w="1183" w:type="dxa"/>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bookmarkStart w:id="0" w:name="_GoBack"/>
            <w:bookmarkEnd w:id="0"/>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XY003</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短信通知费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个人信用卡资金变动短信通知</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个人信用卡交易单笔300 元（不含）以下短信通知，3元/卡/月；</w:t>
            </w:r>
          </w:p>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个人信用卡交易单笔300元（包含）及以上短信通知，免费。（默认开通）</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公务卡免费。其他卡种按标准收费。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XY004</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卡片工本费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无界卡持卡人申请实体卡时收取</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20元/卡</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XY005</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卡片挂失费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银行为持卡人办理挂失业务时收取</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XY006</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换卡手续费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当持卡人在卡片挂失或损坏后要求换新卡时收取</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XY007</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快递加急费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当持卡人要求加急寄送卡片或其他物品时收取</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XY008</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溢缴款领回手续费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当持卡人要求领回卡内溢缴款时收取</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XY009</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调阅签购单费用</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当持卡人要求调阅POS交易的签购单副本时收取</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XY010</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特殊卡面制卡费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锦鲤白金卡采取特殊工艺与材质制作卡面</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锦鲤白金卡特殊卡面，166元/卡</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717"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跨境</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业务</w:t>
            </w: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K001</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ATM跨行取款（境外）</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ATM境外跨行取款（境外仅限银联标识ATM）</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12元/笔</w:t>
            </w:r>
          </w:p>
          <w:p>
            <w:pPr>
              <w:widowControl/>
              <w:spacing w:line="240" w:lineRule="exact"/>
              <w:jc w:val="left"/>
              <w:textAlignment w:val="center"/>
              <w:rPr>
                <w:rFonts w:ascii="微软雅黑" w:hAnsi="微软雅黑" w:eastAsia="微软雅黑" w:cs="微软雅黑"/>
                <w:kern w:val="0"/>
                <w:sz w:val="16"/>
                <w:szCs w:val="16"/>
                <w:lang w:bidi="ar"/>
              </w:rPr>
            </w:pPr>
          </w:p>
        </w:tc>
        <w:tc>
          <w:tcPr>
            <w:tcW w:w="111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港澳台客户免费，其他大众客户每月每卡前5笔免费，超出按标准收费</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K002</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两岸通速汇</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提供以电汇方式向开户在台北富邦商业银行、台北富邦商业银行香港分行、富邦银行（香港）有限公司及其他所有中国台湾地区的银行的收款人汇出款项的服务</w:t>
            </w:r>
          </w:p>
        </w:tc>
        <w:tc>
          <w:tcPr>
            <w:tcW w:w="3560" w:type="dxa"/>
            <w:gridSpan w:val="2"/>
            <w:tcBorders>
              <w:tl2br w:val="nil"/>
              <w:tr2bl w:val="nil"/>
            </w:tcBorders>
            <w:shd w:val="clear" w:color="auto" w:fill="auto"/>
            <w:vAlign w:val="center"/>
          </w:tcPr>
          <w:p>
            <w:pPr>
              <w:widowControl/>
              <w:jc w:val="left"/>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100元/笔（限收款行为台北富邦商业银行、台北富邦商业银行香港分行、富邦银行（香港）有限公司及其他所有中国台湾地区的银行）</w:t>
            </w:r>
          </w:p>
        </w:tc>
        <w:tc>
          <w:tcPr>
            <w:tcW w:w="209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薪速汇客户及本行代发客户免费，其他客户按标准收费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restart"/>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K003</w:t>
            </w:r>
          </w:p>
        </w:tc>
        <w:tc>
          <w:tcPr>
            <w:tcW w:w="160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跨境汇款</w:t>
            </w:r>
          </w:p>
        </w:tc>
        <w:tc>
          <w:tcPr>
            <w:tcW w:w="3380" w:type="dxa"/>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以电讯方式向境外收款人汇出款项的服务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手续费：按汇款金额的1‰收取，最低50元/笔，最高1000元/笔</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50元/笔</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50元/笔</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邮电费：90元/笔</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50元/笔</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vMerge w:val="continue"/>
            <w:tcBorders>
              <w:tl2br w:val="nil"/>
              <w:tr2bl w:val="nil"/>
            </w:tcBorders>
            <w:shd w:val="clear" w:color="auto" w:fill="auto"/>
            <w:noWrap/>
            <w:vAlign w:val="center"/>
          </w:tcPr>
          <w:p>
            <w:pPr>
              <w:widowControl/>
              <w:spacing w:line="240" w:lineRule="exact"/>
              <w:jc w:val="center"/>
              <w:rPr>
                <w:rFonts w:ascii="微软雅黑" w:hAnsi="微软雅黑" w:eastAsia="微软雅黑" w:cs="微软雅黑"/>
                <w:sz w:val="16"/>
                <w:szCs w:val="16"/>
              </w:rPr>
            </w:pPr>
          </w:p>
        </w:tc>
        <w:tc>
          <w:tcPr>
            <w:tcW w:w="160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380" w:type="dxa"/>
            <w:vMerge w:val="continue"/>
            <w:tcBorders>
              <w:tl2br w:val="nil"/>
              <w:tr2bl w:val="nil"/>
            </w:tcBorders>
            <w:shd w:val="clear" w:color="auto" w:fill="auto"/>
            <w:vAlign w:val="center"/>
          </w:tcPr>
          <w:p>
            <w:pPr>
              <w:widowControl/>
              <w:spacing w:line="240" w:lineRule="exact"/>
              <w:jc w:val="left"/>
              <w:rPr>
                <w:rFonts w:ascii="微软雅黑" w:hAnsi="微软雅黑" w:eastAsia="微软雅黑" w:cs="微软雅黑"/>
                <w:sz w:val="16"/>
                <w:szCs w:val="16"/>
              </w:rPr>
            </w:pP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中间行收费：</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1.“共同SHA”方式：我行所有费用由汇款人承担，扣款账户均为汇款人（我行客户）的账户。</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2.“收款人BEN”方式：我行所有费用由收款人承担，按当天汇率折算成相应外币（或人民币）从汇款本金中扣收。</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3.“汇款人OUR＂方式：我行所有费用由汇款人承担，另外扣收25美元或更高的账户行费用，可保证汇款本金全额到收款行（美国、日本地区的收款行除外）。但其他中转行或收款行的费用（如有），将仍会导致汇款本金无法全额到达收款人账户。</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*如发生退汇情况，所有已产生的费用不退。</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K004</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个人即期结售汇</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向客户提供人民币与外币间相互兑换的服务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参考厦门银行官网外汇牌价</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美元结售汇点差8折，其他币种按挂牌价收费</w:t>
            </w:r>
          </w:p>
        </w:tc>
        <w:tc>
          <w:tcPr>
            <w:tcW w:w="10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美元结售汇点差5折，其他币种按挂牌价收费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K005</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薪速汇</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向台籍客户提供大陆境内完税人民币薪资跨境汇款服务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参考K003跨境汇款</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免汇出行手续费、免邮电费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717" w:type="dxa"/>
            <w:vMerge w:val="restart"/>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其他</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服务</w:t>
            </w: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QT001</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个人（居民）存款证明</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为个人客户开立存款证明</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手续费20元/份</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免费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QT002</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代发工资</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单位与我行签订协议后为其代发工资</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依据与委托单位签订的协议执行（仅面向企业客户收取）</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ZF002</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支票工本费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出售给客户的支票凭证</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0.4元/份</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免收工本费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ZF003</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支票手续费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为客户办理支票业务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现金支票手续费0.6元/笔；转账支票手续费0.6元/笔（重庆分行转账支票手续费1.00元/笔）</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免收支票手续费，优惠期限自2021年11月1日至2024年9月30日</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ZF004</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本票工本费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出售给客户的本票凭证</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0.48元/份</w:t>
            </w:r>
          </w:p>
        </w:tc>
        <w:tc>
          <w:tcPr>
            <w:tcW w:w="4050" w:type="dxa"/>
            <w:gridSpan w:val="4"/>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免收工本费和手续费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ZF005</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本票手续费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为客户办理本票业务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0.6元/笔，使用清分机的手续费：1元/笔</w:t>
            </w:r>
          </w:p>
        </w:tc>
        <w:tc>
          <w:tcPr>
            <w:tcW w:w="4050" w:type="dxa"/>
            <w:gridSpan w:val="4"/>
            <w:vMerge w:val="continue"/>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ZF006</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银行汇票工本费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出售给客户的银行汇票凭证</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0.48元/份</w:t>
            </w:r>
          </w:p>
        </w:tc>
        <w:tc>
          <w:tcPr>
            <w:tcW w:w="4050" w:type="dxa"/>
            <w:gridSpan w:val="4"/>
            <w:vMerge w:val="restart"/>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免收工本费和手续费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ZF007</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银行汇票手续费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为客户办理银行汇票业务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1元/笔</w:t>
            </w:r>
          </w:p>
        </w:tc>
        <w:tc>
          <w:tcPr>
            <w:tcW w:w="4050" w:type="dxa"/>
            <w:gridSpan w:val="4"/>
            <w:vMerge w:val="continue"/>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ZF008</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票据挂失费</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为客户办理支票、本票、银行汇票挂失</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按票面金额的0.1%收取，最低5元</w:t>
            </w:r>
          </w:p>
        </w:tc>
        <w:tc>
          <w:tcPr>
            <w:tcW w:w="4050" w:type="dxa"/>
            <w:gridSpan w:val="4"/>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免收支票、本票、银行汇票挂失费</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widowControl/>
              <w:spacing w:line="240" w:lineRule="exact"/>
              <w:jc w:val="center"/>
              <w:rPr>
                <w:rFonts w:ascii="微软雅黑" w:hAnsi="微软雅黑" w:eastAsia="微软雅黑" w:cs="微软雅黑"/>
                <w:sz w:val="16"/>
                <w:szCs w:val="16"/>
              </w:rPr>
            </w:pPr>
          </w:p>
        </w:tc>
        <w:tc>
          <w:tcPr>
            <w:tcW w:w="817" w:type="dxa"/>
            <w:tcBorders>
              <w:tl2br w:val="nil"/>
              <w:tr2bl w:val="nil"/>
            </w:tcBorders>
            <w:shd w:val="clear" w:color="auto" w:fill="auto"/>
            <w:noWrap/>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ZF013</w:t>
            </w:r>
          </w:p>
        </w:tc>
        <w:tc>
          <w:tcPr>
            <w:tcW w:w="160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委托收款/托收承付</w:t>
            </w:r>
          </w:p>
        </w:tc>
        <w:tc>
          <w:tcPr>
            <w:tcW w:w="3380" w:type="dxa"/>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办理委托收款、托收承付业务</w:t>
            </w:r>
          </w:p>
        </w:tc>
        <w:tc>
          <w:tcPr>
            <w:tcW w:w="3560" w:type="dxa"/>
            <w:gridSpan w:val="2"/>
            <w:tcBorders>
              <w:tl2br w:val="nil"/>
              <w:tr2bl w:val="nil"/>
            </w:tcBorders>
            <w:shd w:val="clear" w:color="auto" w:fill="auto"/>
            <w:vAlign w:val="center"/>
          </w:tcPr>
          <w:p>
            <w:pPr>
              <w:widowControl/>
              <w:spacing w:line="240" w:lineRule="exact"/>
              <w:jc w:val="left"/>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手续费1元/笔,寄出的邮寄费用按递送方式的实际费用代收</w:t>
            </w:r>
          </w:p>
        </w:tc>
        <w:tc>
          <w:tcPr>
            <w:tcW w:w="111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8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96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000"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w:t>
            </w:r>
          </w:p>
        </w:tc>
        <w:tc>
          <w:tcPr>
            <w:tcW w:w="1183" w:type="dxa"/>
            <w:tcBorders>
              <w:tl2br w:val="nil"/>
              <w:tr2bl w:val="nil"/>
            </w:tcBorders>
            <w:shd w:val="clear" w:color="auto" w:fill="auto"/>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市场调节价</w:t>
            </w:r>
          </w:p>
        </w:tc>
      </w:tr>
    </w:tbl>
    <w:p>
      <w:pPr>
        <w:rPr>
          <w:rFonts w:ascii="微软雅黑" w:hAnsi="微软雅黑" w:eastAsia="微软雅黑" w:cs="微软雅黑"/>
          <w:kern w:val="0"/>
          <w:sz w:val="16"/>
          <w:szCs w:val="16"/>
          <w:lang w:bidi="ar"/>
        </w:rPr>
      </w:pPr>
    </w:p>
    <w:p>
      <w:pP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备注：</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1.政府指导价的相关文件为《关于印发商业银行服务政府指导价政府定价目录的通知》（发改价格［2014］268号）。</w:t>
      </w:r>
    </w:p>
    <w:p>
      <w:pP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2.Z003、Z004的同城业务覆盖的区域范围为不小于地级市行政区划，同一直辖市、省会城市、计划单列市为同城范畴。</w:t>
      </w:r>
    </w:p>
    <w:p>
      <w:pP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3.我行零售客户以其在我行的月日均零售金融资产规模（以下简称：月日均AUM）作为分层依据，分为大众客户、创富客户、财富客户、私行客户四个层级。每月月初根据客户在我行的上个自然月金融资产日均评定。客户层级与其对应月日均金融资产区间对应如下：</w:t>
      </w:r>
    </w:p>
    <w:tbl>
      <w:tblPr>
        <w:tblStyle w:val="3"/>
        <w:tblW w:w="6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0"/>
        <w:gridCol w:w="1360"/>
        <w:gridCol w:w="1361"/>
        <w:gridCol w:w="1361"/>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960" w:type="dxa"/>
            <w:tcBorders>
              <w:tl2br w:val="nil"/>
              <w:tr2bl w:val="nil"/>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客户层级</w:t>
            </w:r>
          </w:p>
        </w:tc>
        <w:tc>
          <w:tcPr>
            <w:tcW w:w="960" w:type="dxa"/>
            <w:tcBorders>
              <w:tl2br w:val="nil"/>
              <w:tr2bl w:val="nil"/>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大众客户</w:t>
            </w:r>
          </w:p>
        </w:tc>
        <w:tc>
          <w:tcPr>
            <w:tcW w:w="960" w:type="dxa"/>
            <w:tcBorders>
              <w:tl2br w:val="nil"/>
              <w:tr2bl w:val="nil"/>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创富客户</w:t>
            </w:r>
          </w:p>
        </w:tc>
        <w:tc>
          <w:tcPr>
            <w:tcW w:w="960" w:type="dxa"/>
            <w:tcBorders>
              <w:tl2br w:val="nil"/>
              <w:tr2bl w:val="nil"/>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财富客户</w:t>
            </w:r>
          </w:p>
        </w:tc>
        <w:tc>
          <w:tcPr>
            <w:tcW w:w="960" w:type="dxa"/>
            <w:tcBorders>
              <w:tl2br w:val="nil"/>
              <w:tr2bl w:val="nil"/>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私行客户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960" w:type="dxa"/>
            <w:tcBorders>
              <w:tl2br w:val="nil"/>
              <w:tr2bl w:val="nil"/>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月日均AUM</w:t>
            </w:r>
          </w:p>
        </w:tc>
        <w:tc>
          <w:tcPr>
            <w:tcW w:w="960" w:type="dxa"/>
            <w:tcBorders>
              <w:tl2br w:val="nil"/>
              <w:tr2bl w:val="nil"/>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＜5万元</w:t>
            </w:r>
          </w:p>
        </w:tc>
        <w:tc>
          <w:tcPr>
            <w:tcW w:w="960" w:type="dxa"/>
            <w:tcBorders>
              <w:tl2br w:val="nil"/>
              <w:tr2bl w:val="nil"/>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[5，50）万元</w:t>
            </w:r>
          </w:p>
        </w:tc>
        <w:tc>
          <w:tcPr>
            <w:tcW w:w="960" w:type="dxa"/>
            <w:tcBorders>
              <w:tl2br w:val="nil"/>
              <w:tr2bl w:val="nil"/>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[50，300）万元</w:t>
            </w:r>
          </w:p>
        </w:tc>
        <w:tc>
          <w:tcPr>
            <w:tcW w:w="960" w:type="dxa"/>
            <w:tcBorders>
              <w:tl2br w:val="nil"/>
              <w:tr2bl w:val="nil"/>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≥300万元</w:t>
            </w:r>
          </w:p>
        </w:tc>
      </w:tr>
    </w:tbl>
    <w:p>
      <w:pP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客户可通过厦门银行</w:t>
      </w:r>
      <w:r>
        <w:rPr>
          <w:rFonts w:ascii="微软雅黑" w:hAnsi="微软雅黑" w:eastAsia="微软雅黑" w:cs="微软雅黑"/>
          <w:kern w:val="0"/>
          <w:sz w:val="16"/>
          <w:szCs w:val="16"/>
          <w:lang w:bidi="ar"/>
        </w:rPr>
        <w:t>手机银行、网上银行、网点柜面、客户经理、400-858-8888客服电话查询客户层级。</w:t>
      </w:r>
    </w:p>
    <w:p>
      <w:pPr>
        <w:numPr>
          <w:ilvl w:val="255"/>
          <w:numId w:val="0"/>
        </w:numP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4.投诉渠道：</w:t>
      </w:r>
    </w:p>
    <w:p>
      <w:pPr>
        <w:numPr>
          <w:ilvl w:val="0"/>
          <w:numId w:val="1"/>
        </w:numP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大陆地区客服投诉热线：400-858-8888</w:t>
      </w:r>
    </w:p>
    <w:p>
      <w:pPr>
        <w:numPr>
          <w:ilvl w:val="0"/>
          <w:numId w:val="1"/>
        </w:numP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台湾地区客服投诉热线：0080-186-3155</w:t>
      </w:r>
    </w:p>
    <w:p>
      <w:pPr>
        <w:numPr>
          <w:ilvl w:val="0"/>
          <w:numId w:val="1"/>
        </w:numP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投诉受理邮箱：4008588888@xmbankonline.com</w:t>
      </w:r>
    </w:p>
    <w:p>
      <w:pPr>
        <w:numPr>
          <w:ilvl w:val="0"/>
          <w:numId w:val="1"/>
        </w:numP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信函渠道：厦门市思明区湖滨北路101号厦门银行消费者权益保护部 邮箱361012</w:t>
      </w:r>
    </w:p>
    <w:p>
      <w:pPr>
        <w:numPr>
          <w:ilvl w:val="0"/>
          <w:numId w:val="1"/>
        </w:numP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手机银行：登录手机银行首页，点击“在线客服”</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93A0"/>
    <w:multiLevelType w:val="singleLevel"/>
    <w:tmpl w:val="84FD93A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zM2NDk2ZTEzMzk5YmMxY2RjY2E4YjYzNWQyOTEifQ=="/>
  </w:docVars>
  <w:rsids>
    <w:rsidRoot w:val="004710C4"/>
    <w:rsid w:val="000959FE"/>
    <w:rsid w:val="004710C4"/>
    <w:rsid w:val="005A7E65"/>
    <w:rsid w:val="01BF01E5"/>
    <w:rsid w:val="040D3586"/>
    <w:rsid w:val="042F0FB9"/>
    <w:rsid w:val="045108B7"/>
    <w:rsid w:val="04B231EB"/>
    <w:rsid w:val="04D4434D"/>
    <w:rsid w:val="064C1F11"/>
    <w:rsid w:val="06B121B6"/>
    <w:rsid w:val="076A30D3"/>
    <w:rsid w:val="08183AE9"/>
    <w:rsid w:val="09513022"/>
    <w:rsid w:val="09C14796"/>
    <w:rsid w:val="09D023D2"/>
    <w:rsid w:val="0A7850B9"/>
    <w:rsid w:val="0ACA5898"/>
    <w:rsid w:val="0C4E7DBD"/>
    <w:rsid w:val="0C943BB3"/>
    <w:rsid w:val="0CB57730"/>
    <w:rsid w:val="0CFC470E"/>
    <w:rsid w:val="0D303F06"/>
    <w:rsid w:val="0D3A5040"/>
    <w:rsid w:val="0DF41772"/>
    <w:rsid w:val="0E5321B9"/>
    <w:rsid w:val="106F7054"/>
    <w:rsid w:val="10F93FE9"/>
    <w:rsid w:val="11BA28D3"/>
    <w:rsid w:val="12A926BE"/>
    <w:rsid w:val="134304AD"/>
    <w:rsid w:val="13942D14"/>
    <w:rsid w:val="13BC5823"/>
    <w:rsid w:val="13C2447A"/>
    <w:rsid w:val="1406046B"/>
    <w:rsid w:val="147921CC"/>
    <w:rsid w:val="15560D8B"/>
    <w:rsid w:val="156E4923"/>
    <w:rsid w:val="162A6CFB"/>
    <w:rsid w:val="17AF500F"/>
    <w:rsid w:val="180B566D"/>
    <w:rsid w:val="187036FE"/>
    <w:rsid w:val="1884715B"/>
    <w:rsid w:val="18CA3A8D"/>
    <w:rsid w:val="19181060"/>
    <w:rsid w:val="197D7FBB"/>
    <w:rsid w:val="1A026821"/>
    <w:rsid w:val="1A0B12EE"/>
    <w:rsid w:val="1A4D0639"/>
    <w:rsid w:val="1C773A81"/>
    <w:rsid w:val="1C8E3C34"/>
    <w:rsid w:val="1D120612"/>
    <w:rsid w:val="1D197825"/>
    <w:rsid w:val="1D9737C5"/>
    <w:rsid w:val="1EA94EF2"/>
    <w:rsid w:val="1F156FC1"/>
    <w:rsid w:val="1FBE1CAE"/>
    <w:rsid w:val="206B53AB"/>
    <w:rsid w:val="21830FF1"/>
    <w:rsid w:val="23021125"/>
    <w:rsid w:val="231D7914"/>
    <w:rsid w:val="241777A8"/>
    <w:rsid w:val="26420488"/>
    <w:rsid w:val="26C21DDC"/>
    <w:rsid w:val="26C53328"/>
    <w:rsid w:val="26D24D21"/>
    <w:rsid w:val="2703321E"/>
    <w:rsid w:val="27647A20"/>
    <w:rsid w:val="278109E2"/>
    <w:rsid w:val="27D32E0B"/>
    <w:rsid w:val="287D1C5E"/>
    <w:rsid w:val="2ADD4344"/>
    <w:rsid w:val="2B22755B"/>
    <w:rsid w:val="2B297A44"/>
    <w:rsid w:val="2B7D284A"/>
    <w:rsid w:val="2BEA5837"/>
    <w:rsid w:val="2BF400DB"/>
    <w:rsid w:val="2C290B46"/>
    <w:rsid w:val="2C784B05"/>
    <w:rsid w:val="2D4E3EE1"/>
    <w:rsid w:val="2DDD3CB5"/>
    <w:rsid w:val="2E046681"/>
    <w:rsid w:val="2E2F7D82"/>
    <w:rsid w:val="2F0F6298"/>
    <w:rsid w:val="2FAB1145"/>
    <w:rsid w:val="30741529"/>
    <w:rsid w:val="31717828"/>
    <w:rsid w:val="31975D8D"/>
    <w:rsid w:val="31A75FA2"/>
    <w:rsid w:val="31BE3E0A"/>
    <w:rsid w:val="31DB4366"/>
    <w:rsid w:val="3248005B"/>
    <w:rsid w:val="325F1907"/>
    <w:rsid w:val="34556AD0"/>
    <w:rsid w:val="34A21F06"/>
    <w:rsid w:val="34C71D0F"/>
    <w:rsid w:val="35515CE7"/>
    <w:rsid w:val="361E76CF"/>
    <w:rsid w:val="36A04C1F"/>
    <w:rsid w:val="385476C3"/>
    <w:rsid w:val="38F57D8B"/>
    <w:rsid w:val="392279B4"/>
    <w:rsid w:val="3971678F"/>
    <w:rsid w:val="3B1104C8"/>
    <w:rsid w:val="3B3E74C2"/>
    <w:rsid w:val="3B4715A0"/>
    <w:rsid w:val="3B8A6167"/>
    <w:rsid w:val="3F422B8E"/>
    <w:rsid w:val="409B1D22"/>
    <w:rsid w:val="4121069A"/>
    <w:rsid w:val="434A0FDE"/>
    <w:rsid w:val="434F1B5E"/>
    <w:rsid w:val="437A7571"/>
    <w:rsid w:val="438B08DD"/>
    <w:rsid w:val="45D10A5C"/>
    <w:rsid w:val="45FE0A91"/>
    <w:rsid w:val="47A100B5"/>
    <w:rsid w:val="481D4A0E"/>
    <w:rsid w:val="4851725C"/>
    <w:rsid w:val="488B77CB"/>
    <w:rsid w:val="48F324C8"/>
    <w:rsid w:val="493140A5"/>
    <w:rsid w:val="4A5C7F74"/>
    <w:rsid w:val="4A826ECA"/>
    <w:rsid w:val="4AED0DC8"/>
    <w:rsid w:val="4AF355AA"/>
    <w:rsid w:val="4B404E84"/>
    <w:rsid w:val="4B935E0E"/>
    <w:rsid w:val="4CA20E0B"/>
    <w:rsid w:val="4D9E07DA"/>
    <w:rsid w:val="4DD0406A"/>
    <w:rsid w:val="4E106636"/>
    <w:rsid w:val="4E972209"/>
    <w:rsid w:val="4EAD48E6"/>
    <w:rsid w:val="4FD312CB"/>
    <w:rsid w:val="50AA4C2B"/>
    <w:rsid w:val="521F0B85"/>
    <w:rsid w:val="523A5A6A"/>
    <w:rsid w:val="5282482B"/>
    <w:rsid w:val="53331C8C"/>
    <w:rsid w:val="54587870"/>
    <w:rsid w:val="55247BA6"/>
    <w:rsid w:val="558A5B59"/>
    <w:rsid w:val="55D519A4"/>
    <w:rsid w:val="56582839"/>
    <w:rsid w:val="565C123F"/>
    <w:rsid w:val="567E206A"/>
    <w:rsid w:val="57EE6152"/>
    <w:rsid w:val="58211E24"/>
    <w:rsid w:val="58636C84"/>
    <w:rsid w:val="58C638A8"/>
    <w:rsid w:val="5A1F0386"/>
    <w:rsid w:val="5B3755B2"/>
    <w:rsid w:val="5CF6218C"/>
    <w:rsid w:val="5D7D7CD1"/>
    <w:rsid w:val="5DAC6159"/>
    <w:rsid w:val="5E012146"/>
    <w:rsid w:val="5E0F3BBC"/>
    <w:rsid w:val="5EFE0E1E"/>
    <w:rsid w:val="5F7A7BE5"/>
    <w:rsid w:val="5FB22EFA"/>
    <w:rsid w:val="5FD66D84"/>
    <w:rsid w:val="608073C4"/>
    <w:rsid w:val="6202602C"/>
    <w:rsid w:val="627250F0"/>
    <w:rsid w:val="63DD1FEB"/>
    <w:rsid w:val="64E962AF"/>
    <w:rsid w:val="65041C9D"/>
    <w:rsid w:val="67AE040C"/>
    <w:rsid w:val="686D26BD"/>
    <w:rsid w:val="69BB330A"/>
    <w:rsid w:val="69D2153B"/>
    <w:rsid w:val="69D538FA"/>
    <w:rsid w:val="6A165C42"/>
    <w:rsid w:val="6BDD5017"/>
    <w:rsid w:val="6C011A10"/>
    <w:rsid w:val="6CB822E5"/>
    <w:rsid w:val="6FF73E13"/>
    <w:rsid w:val="70C2380D"/>
    <w:rsid w:val="71116E10"/>
    <w:rsid w:val="71FE7FEA"/>
    <w:rsid w:val="72AA112F"/>
    <w:rsid w:val="72B56D79"/>
    <w:rsid w:val="72EB6246"/>
    <w:rsid w:val="73ED3A32"/>
    <w:rsid w:val="74FD2437"/>
    <w:rsid w:val="754E0FB1"/>
    <w:rsid w:val="75B50A12"/>
    <w:rsid w:val="78FD68D5"/>
    <w:rsid w:val="794C6E01"/>
    <w:rsid w:val="794D08E6"/>
    <w:rsid w:val="79CB27DC"/>
    <w:rsid w:val="79FA2B1A"/>
    <w:rsid w:val="7A3C5C98"/>
    <w:rsid w:val="7A6525BD"/>
    <w:rsid w:val="7AAF6B9D"/>
    <w:rsid w:val="7AB2594F"/>
    <w:rsid w:val="7C087614"/>
    <w:rsid w:val="7C3C1BAD"/>
    <w:rsid w:val="7D3F32F0"/>
    <w:rsid w:val="7D514CD0"/>
    <w:rsid w:val="7D526504"/>
    <w:rsid w:val="7E4F32FC"/>
    <w:rsid w:val="7E730722"/>
    <w:rsid w:val="7E76007C"/>
    <w:rsid w:val="7F1C0BC3"/>
    <w:rsid w:val="7F6E2137"/>
    <w:rsid w:val="7F9C6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qFormat/>
    <w:uiPriority w:val="0"/>
    <w:rPr>
      <w:rFonts w:hint="eastAsia" w:ascii="微软雅黑" w:hAnsi="微软雅黑" w:eastAsia="微软雅黑" w:cs="微软雅黑"/>
      <w:color w:val="000000"/>
      <w:sz w:val="22"/>
      <w:szCs w:val="22"/>
      <w:u w:val="none"/>
    </w:rPr>
  </w:style>
  <w:style w:type="character" w:customStyle="1" w:styleId="7">
    <w:name w:val="font71"/>
    <w:basedOn w:val="5"/>
    <w:qFormat/>
    <w:uiPriority w:val="0"/>
    <w:rPr>
      <w:rFonts w:hint="eastAsia" w:ascii="微软雅黑" w:hAnsi="微软雅黑" w:eastAsia="微软雅黑" w:cs="微软雅黑"/>
      <w:color w:val="FF0000"/>
      <w:sz w:val="22"/>
      <w:szCs w:val="22"/>
      <w:u w:val="none"/>
    </w:rPr>
  </w:style>
  <w:style w:type="character" w:customStyle="1" w:styleId="8">
    <w:name w:val="font61"/>
    <w:basedOn w:val="5"/>
    <w:qFormat/>
    <w:uiPriority w:val="0"/>
    <w:rPr>
      <w:rFonts w:hint="eastAsia" w:ascii="微软雅黑" w:hAnsi="微软雅黑" w:eastAsia="微软雅黑" w:cs="微软雅黑"/>
      <w:color w:val="000000"/>
      <w:sz w:val="22"/>
      <w:szCs w:val="22"/>
      <w:u w:val="none"/>
    </w:rPr>
  </w:style>
  <w:style w:type="character" w:customStyle="1" w:styleId="9">
    <w:name w:val="font21"/>
    <w:basedOn w:val="5"/>
    <w:qFormat/>
    <w:uiPriority w:val="0"/>
    <w:rPr>
      <w:rFonts w:hint="eastAsia" w:ascii="微软雅黑" w:hAnsi="微软雅黑" w:eastAsia="微软雅黑" w:cs="微软雅黑"/>
      <w:color w:val="FF0000"/>
      <w:sz w:val="22"/>
      <w:szCs w:val="22"/>
      <w:u w:val="none"/>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1013</Words>
  <Characters>5776</Characters>
  <Lines>48</Lines>
  <Paragraphs>13</Paragraphs>
  <TotalTime>8</TotalTime>
  <ScaleCrop>false</ScaleCrop>
  <LinksUpToDate>false</LinksUpToDate>
  <CharactersWithSpaces>6776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2022-06-30T01:14:00Z</dcterms:created>
  <dc:creator>xmb-user</dc:creator>
  <cp:lastModifiedBy>黄丽丽</cp:lastModifiedBy>
  <cp:lastPrinted>2022-07-29T10:20:00Z</cp:lastPrinted>
  <dcterms:modified xsi:type="dcterms:W3CDTF">2024-04-09T12:08:35Z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51B6AA71092D4A1EB72754A44B72C6E5_13</vt:lpwstr>
  </property>
</Properties>
</file>