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CAWMG6B77RYQ06TGRGRNRL0J7N8MOYYR9S06BJECXF88TECT6DBJKC0EFY5HP8IRBEM6OOZMZIA78HJJQFFT0FF789EMWIWB8NOOIHB3B4937EDAFBEDE71731B228DF237CEA32" Type="http://schemas.microsoft.com/office/2006/relationships/officeDocumentMain" Target="docProps/core.xml"/><Relationship Id="CKWM06BV7RRQ00HGRAR8IL097ZEMOYYR9S0XLJDTXFBRTQCTN0BJICJAFS6TPD6RXFMXEOLYZIW78HXJQSFTKFFA8RZMWMWBASOOQHB3E4A13109A4B87701AF0C004C3648294A" Type="http://schemas.microsoft.com/office/2006/relationships/officeDocumentExtended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徽银理财净值型理财产品每周净值公告（2024年03月01日）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2024年03月01日,产品存续份额:56,862,535份，产品当日资产净值:57,954,831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1.017635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1.017635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2024年03月01日,产品存续份额:2,390,000份，产品当日资产净值:2,440,643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1.014355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1.014355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2024年03月01日,产品存续份额:31,172,403份，产品当日资产净值:31,651,927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2024年03月01日,产品存续份额:3,550,000份，产品当日资产净值:3,613,209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1.013206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1.013206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1.016657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1.016657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5、徽银理财“安盈”稳利3个月固定收益类理财产品240016_A：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3个月固定收益类理财产品240016_A,产品代码PNHY240016_A,产品登记编码Z7002424000012,于2024年01月17日成立并投资运作，截至2024年03月01日,产品存续份额:54,832,675份，产品当日资产净值:55,039,284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2024年03月01日,产品存续份额:34,963,033份，产品当日资产净值:36,428,390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1.035471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1.035471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1.036286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1.036286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1.037909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1.037909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1.038725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1.038725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1.039506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1.039506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1.040145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1.040145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1.041124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1.041124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1.041912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1.041912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2024年03月01日,产品存续份额:70,552,652份，产品当日资产净值:73,748,992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1.039111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1.039111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1.040834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1.040834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1.041793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1.041793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1.042654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1.042654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1.043512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1.043512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1.044444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1.044444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2024年03月01日,产品存续份额:38,340,762份，产品当日资产净值:39,876,522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1.033650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1.033650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1.036074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1.036074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1.039272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1.039272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2024年03月05日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