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firstLine="560" w:firstLineChars="200"/>
        <w:jc w:val="center"/>
        <w:rPr>
          <w:rFonts w:ascii="方正黑体简体" w:eastAsia="方正黑体简体"/>
          <w:sz w:val="28"/>
          <w:szCs w:val="28"/>
        </w:rPr>
      </w:pPr>
      <w:r>
        <w:rPr>
          <w:rFonts w:hint="eastAsia" w:ascii="方正黑体简体" w:eastAsia="方正黑体简体"/>
          <w:sz w:val="28"/>
          <w:szCs w:val="28"/>
        </w:rPr>
        <w:t>关于</w:t>
      </w:r>
      <w:r>
        <w:rPr>
          <w:rFonts w:hint="eastAsia" w:ascii="方正黑体简体" w:hAnsi="Verdana" w:eastAsia="方正黑体简体" w:cs="Verdana"/>
          <w:sz w:val="28"/>
          <w:szCs w:val="28"/>
          <w:shd w:val="clear" w:color="auto" w:fill="FFFFFF"/>
        </w:rPr>
        <w:t>南银理财珠联璧合鑫逸稳一年103期封闭式公募人民币理财产品调整投资非标准化债权类资产</w:t>
      </w:r>
      <w:r>
        <w:rPr>
          <w:rFonts w:hint="eastAsia" w:ascii="方正黑体简体" w:eastAsia="方正黑体简体"/>
          <w:sz w:val="28"/>
          <w:szCs w:val="28"/>
        </w:rPr>
        <w:t>公告</w:t>
      </w:r>
    </w:p>
    <w:p>
      <w:pPr>
        <w:spacing w:line="360" w:lineRule="auto"/>
        <w:ind w:firstLine="440" w:firstLineChars="200"/>
        <w:rPr>
          <w:sz w:val="22"/>
        </w:rPr>
      </w:pPr>
    </w:p>
    <w:tbl>
      <w:tblPr>
        <w:tblStyle w:val="5"/>
        <w:tblW w:w="9180" w:type="dxa"/>
        <w:jc w:val="center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18"/>
        <w:gridCol w:w="6662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180" w:type="dxa"/>
            <w:gridSpan w:val="2"/>
          </w:tcPr>
          <w:p>
            <w:pPr>
              <w:spacing w:line="360" w:lineRule="auto"/>
              <w:jc w:val="center"/>
              <w:rPr>
                <w:rFonts w:ascii="方正仿宋简体" w:eastAsia="方正仿宋简体"/>
                <w:kern w:val="0"/>
                <w:sz w:val="24"/>
                <w:szCs w:val="24"/>
              </w:rPr>
            </w:pPr>
            <w:r>
              <w:rPr>
                <w:rFonts w:hint="eastAsia" w:ascii="方正仿宋简体" w:eastAsia="方正仿宋简体"/>
                <w:kern w:val="0"/>
                <w:sz w:val="24"/>
                <w:szCs w:val="24"/>
              </w:rPr>
              <w:t>1、理财产品基本信息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2518" w:type="dxa"/>
          </w:tcPr>
          <w:p>
            <w:pPr>
              <w:spacing w:line="360" w:lineRule="auto"/>
              <w:rPr>
                <w:rFonts w:ascii="方正仿宋简体" w:eastAsia="方正仿宋简体"/>
                <w:kern w:val="0"/>
                <w:sz w:val="24"/>
                <w:szCs w:val="24"/>
              </w:rPr>
            </w:pPr>
            <w:r>
              <w:rPr>
                <w:rFonts w:hint="eastAsia" w:ascii="方正仿宋简体" w:eastAsia="方正仿宋简体"/>
                <w:kern w:val="0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>
            <w:pPr>
              <w:spacing w:line="360" w:lineRule="auto"/>
              <w:rPr>
                <w:rFonts w:ascii="方正仿宋简体" w:hAnsi="仿宋_GB2312" w:eastAsia="方正仿宋简体" w:cs="仿宋_GB2312"/>
                <w:kern w:val="2"/>
                <w:sz w:val="24"/>
                <w:szCs w:val="24"/>
              </w:rPr>
            </w:pPr>
            <w:r>
              <w:rPr>
                <w:rFonts w:hint="eastAsia" w:ascii="方正仿宋简体" w:hAnsi="仿宋_GB2312" w:eastAsia="方正仿宋简体" w:cs="仿宋_GB2312"/>
                <w:kern w:val="2"/>
                <w:sz w:val="24"/>
                <w:szCs w:val="24"/>
              </w:rPr>
              <w:t>南银理财珠联璧合鑫逸稳一年103期封闭式公募人民币理财产品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18" w:type="dxa"/>
          </w:tcPr>
          <w:p>
            <w:pPr>
              <w:spacing w:line="360" w:lineRule="auto"/>
              <w:rPr>
                <w:rFonts w:ascii="方正仿宋简体" w:eastAsia="方正仿宋简体"/>
                <w:kern w:val="0"/>
                <w:sz w:val="24"/>
                <w:szCs w:val="24"/>
              </w:rPr>
            </w:pPr>
            <w:r>
              <w:rPr>
                <w:rFonts w:hint="eastAsia" w:ascii="方正仿宋简体" w:eastAsia="方正仿宋简体"/>
                <w:kern w:val="0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>
            <w:pPr>
              <w:spacing w:line="360" w:lineRule="auto"/>
              <w:rPr>
                <w:rFonts w:ascii="方正仿宋简体" w:hAnsi="仿宋_GB2312" w:eastAsia="方正仿宋简体" w:cs="仿宋_GB2312"/>
                <w:kern w:val="2"/>
                <w:sz w:val="24"/>
                <w:szCs w:val="24"/>
              </w:rPr>
            </w:pPr>
            <w:r>
              <w:rPr>
                <w:rFonts w:hint="eastAsia" w:ascii="方正仿宋简体" w:hAnsi="仿宋_GB2312" w:eastAsia="方正仿宋简体" w:cs="仿宋_GB2312"/>
                <w:kern w:val="2"/>
                <w:sz w:val="24"/>
                <w:szCs w:val="24"/>
              </w:rPr>
              <w:t>ZZ700322300248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2518" w:type="dxa"/>
          </w:tcPr>
          <w:p>
            <w:pPr>
              <w:spacing w:line="360" w:lineRule="auto"/>
              <w:rPr>
                <w:rFonts w:ascii="方正仿宋简体" w:eastAsia="方正仿宋简体"/>
                <w:kern w:val="0"/>
                <w:sz w:val="24"/>
                <w:szCs w:val="24"/>
              </w:rPr>
            </w:pPr>
            <w:r>
              <w:rPr>
                <w:rFonts w:hint="eastAsia" w:ascii="方正仿宋简体" w:eastAsia="方正仿宋简体"/>
                <w:kern w:val="0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>
            <w:pPr>
              <w:spacing w:line="360" w:lineRule="auto"/>
              <w:rPr>
                <w:rFonts w:ascii="方正仿宋简体" w:hAnsi="仿宋_GB2312" w:eastAsia="方正仿宋简体" w:cs="仿宋_GB2312"/>
                <w:kern w:val="2"/>
                <w:sz w:val="24"/>
                <w:szCs w:val="24"/>
              </w:rPr>
            </w:pPr>
            <w:r>
              <w:rPr>
                <w:rFonts w:hint="eastAsia" w:ascii="方正仿宋简体" w:hAnsi="仿宋_GB2312" w:eastAsia="方正仿宋简体" w:cs="仿宋_GB2312"/>
                <w:kern w:val="2"/>
                <w:sz w:val="24"/>
                <w:szCs w:val="24"/>
              </w:rPr>
              <w:t>Y30103、Y32103、Y31103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2518" w:type="dxa"/>
          </w:tcPr>
          <w:p>
            <w:pPr>
              <w:spacing w:line="360" w:lineRule="auto"/>
              <w:rPr>
                <w:rFonts w:ascii="方正仿宋简体" w:eastAsia="方正仿宋简体"/>
                <w:kern w:val="0"/>
                <w:sz w:val="24"/>
                <w:szCs w:val="24"/>
              </w:rPr>
            </w:pPr>
            <w:r>
              <w:rPr>
                <w:rFonts w:hint="eastAsia" w:ascii="方正仿宋简体" w:eastAsia="方正仿宋简体"/>
                <w:kern w:val="0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>
            <w:pPr>
              <w:spacing w:line="360" w:lineRule="auto"/>
              <w:rPr>
                <w:rFonts w:ascii="方正仿宋简体" w:eastAsia="方正仿宋简体"/>
                <w:kern w:val="0"/>
                <w:sz w:val="24"/>
                <w:szCs w:val="24"/>
              </w:rPr>
            </w:pPr>
            <w:r>
              <w:rPr>
                <w:rFonts w:hint="eastAsia" w:ascii="方正仿宋简体" w:hAnsi="仿宋_GB2312" w:eastAsia="方正仿宋简体" w:cs="仿宋_GB2312"/>
                <w:kern w:val="2"/>
                <w:sz w:val="24"/>
                <w:szCs w:val="24"/>
              </w:rPr>
              <w:t>2023年03月01日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18" w:type="dxa"/>
          </w:tcPr>
          <w:p>
            <w:pPr>
              <w:spacing w:line="360" w:lineRule="auto"/>
              <w:rPr>
                <w:rFonts w:ascii="方正仿宋简体" w:eastAsia="方正仿宋简体"/>
                <w:kern w:val="0"/>
                <w:sz w:val="24"/>
                <w:szCs w:val="24"/>
              </w:rPr>
            </w:pPr>
            <w:r>
              <w:rPr>
                <w:rFonts w:hint="eastAsia" w:ascii="方正仿宋简体" w:eastAsia="方正仿宋简体"/>
                <w:kern w:val="0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>
            <w:pPr>
              <w:spacing w:line="360" w:lineRule="auto"/>
              <w:rPr>
                <w:rFonts w:ascii="方正仿宋简体" w:eastAsia="方正仿宋简体"/>
                <w:kern w:val="0"/>
                <w:sz w:val="24"/>
                <w:szCs w:val="24"/>
              </w:rPr>
            </w:pPr>
            <w:r>
              <w:rPr>
                <w:rFonts w:hint="eastAsia" w:ascii="方正仿宋简体" w:hAnsi="仿宋_GB2312" w:eastAsia="方正仿宋简体" w:cs="仿宋_GB2312"/>
                <w:kern w:val="2"/>
                <w:sz w:val="24"/>
                <w:szCs w:val="24"/>
              </w:rPr>
              <w:t>2024年03月0</w:t>
            </w:r>
            <w:r>
              <w:rPr>
                <w:rFonts w:hint="eastAsia" w:ascii="方正仿宋简体" w:hAnsi="仿宋_GB2312" w:eastAsia="方正仿宋简体" w:cs="仿宋_GB2312"/>
                <w:kern w:val="2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方正仿宋简体" w:hAnsi="仿宋_GB2312" w:eastAsia="方正仿宋简体" w:cs="仿宋_GB2312"/>
                <w:kern w:val="2"/>
                <w:sz w:val="24"/>
                <w:szCs w:val="24"/>
              </w:rPr>
              <w:t>日</w:t>
            </w:r>
          </w:p>
        </w:tc>
      </w:tr>
    </w:tbl>
    <w:p>
      <w:pPr>
        <w:spacing w:line="360" w:lineRule="auto"/>
        <w:ind w:firstLine="480" w:firstLineChars="200"/>
        <w:rPr>
          <w:rFonts w:ascii="方正仿宋简体" w:eastAsia="方正仿宋简体"/>
          <w:sz w:val="24"/>
          <w:szCs w:val="24"/>
        </w:rPr>
      </w:pPr>
    </w:p>
    <w:p>
      <w:pPr>
        <w:spacing w:line="360" w:lineRule="auto"/>
        <w:ind w:firstLine="480" w:firstLineChars="200"/>
        <w:rPr>
          <w:rFonts w:ascii="方正仿宋简体" w:eastAsia="方正仿宋简体"/>
          <w:sz w:val="24"/>
          <w:szCs w:val="24"/>
        </w:rPr>
      </w:pPr>
    </w:p>
    <w:tbl>
      <w:tblPr>
        <w:tblStyle w:val="4"/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597" w:type="dxa"/>
            <w:gridSpan w:val="8"/>
          </w:tcPr>
          <w:p>
            <w:pPr>
              <w:spacing w:line="360" w:lineRule="auto"/>
              <w:ind w:firstLine="480" w:firstLineChars="20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hint="eastAsia" w:ascii="方正仿宋简体" w:eastAsia="方正仿宋简体"/>
                <w:sz w:val="24"/>
                <w:szCs w:val="24"/>
              </w:rPr>
              <w:t>2、增加的非标准化资产明细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7" w:type="dxa"/>
            <w:vAlign w:val="center"/>
          </w:tcPr>
          <w:p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hint="eastAsia" w:ascii="方正仿宋简体" w:eastAsia="方正仿宋简体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hint="eastAsia" w:ascii="方正仿宋简体" w:eastAsia="方正仿宋简体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hint="eastAsia" w:ascii="方正仿宋简体" w:eastAsia="方正仿宋简体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hint="eastAsia" w:ascii="方正仿宋简体" w:eastAsia="方正仿宋简体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hint="eastAsia" w:ascii="方正仿宋简体" w:eastAsia="方正仿宋简体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hint="eastAsia" w:ascii="方正仿宋简体" w:eastAsia="方正仿宋简体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hint="eastAsia" w:ascii="方正仿宋简体" w:eastAsia="方正仿宋简体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hint="eastAsia" w:ascii="方正仿宋简体" w:eastAsia="方正仿宋简体"/>
                <w:sz w:val="24"/>
                <w:szCs w:val="24"/>
              </w:rPr>
              <w:t>风险状况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eastAsia="方正仿宋简体" w:cs="方正仿宋简体"/>
                <w:sz w:val="24"/>
              </w:rPr>
              <w:t>-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eastAsia="方正仿宋简体" w:cs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eastAsia="方正仿宋简体" w:cs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eastAsia="方正仿宋简体" w:cs="方正仿宋简体"/>
                <w:sz w:val="24"/>
              </w:rPr>
              <w:t>-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eastAsia="方正仿宋简体" w:cs="方正仿宋简体"/>
                <w:sz w:val="24"/>
              </w:rPr>
              <w:t>-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eastAsia="方正仿宋简体" w:cs="方正仿宋简体"/>
                <w:sz w:val="24"/>
              </w:rPr>
              <w:t>-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eastAsia="方正仿宋简体" w:cs="方正仿宋简体"/>
                <w:sz w:val="24"/>
              </w:rPr>
              <w:t>-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eastAsia="方正仿宋简体" w:cs="方正仿宋简体"/>
                <w:sz w:val="24"/>
              </w:rPr>
              <w:t>-</w:t>
            </w:r>
          </w:p>
        </w:tc>
      </w:tr>
    </w:tbl>
    <w:p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Style w:val="4"/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598" w:type="dxa"/>
            <w:gridSpan w:val="8"/>
          </w:tcPr>
          <w:p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hint="eastAsia" w:ascii="方正仿宋简体" w:eastAsia="方正仿宋简体"/>
                <w:sz w:val="24"/>
                <w:szCs w:val="24"/>
              </w:rPr>
              <w:t>3、减少的非标准化资产明细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8" w:type="dxa"/>
            <w:vAlign w:val="center"/>
          </w:tcPr>
          <w:p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hint="eastAsia" w:ascii="方正仿宋简体" w:eastAsia="方正仿宋简体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hint="eastAsia" w:ascii="方正仿宋简体" w:eastAsia="方正仿宋简体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hint="eastAsia" w:ascii="方正仿宋简体" w:eastAsia="方正仿宋简体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hint="eastAsia" w:ascii="方正仿宋简体" w:eastAsia="方正仿宋简体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hint="eastAsia" w:ascii="方正仿宋简体" w:eastAsia="方正仿宋简体"/>
                <w:sz w:val="24"/>
                <w:szCs w:val="24"/>
              </w:rPr>
              <w:t>剩余融资期限（天）</w:t>
            </w:r>
          </w:p>
        </w:tc>
        <w:tc>
          <w:tcPr>
            <w:tcW w:w="1695" w:type="dxa"/>
            <w:vAlign w:val="center"/>
          </w:tcPr>
          <w:p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hint="eastAsia" w:ascii="方正仿宋简体" w:eastAsia="方正仿宋简体"/>
                <w:sz w:val="24"/>
                <w:szCs w:val="24"/>
              </w:rPr>
              <w:t>到期收益分配</w:t>
            </w:r>
          </w:p>
        </w:tc>
        <w:tc>
          <w:tcPr>
            <w:tcW w:w="1272" w:type="dxa"/>
            <w:vAlign w:val="center"/>
          </w:tcPr>
          <w:p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hint="eastAsia" w:ascii="方正仿宋简体" w:eastAsia="方正仿宋简体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hint="eastAsia" w:ascii="方正仿宋简体" w:eastAsia="方正仿宋简体"/>
                <w:sz w:val="24"/>
                <w:szCs w:val="24"/>
              </w:rPr>
              <w:t>风险状况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eastAsia="方正仿宋简体" w:cs="方正仿宋简体"/>
                <w:sz w:val="24"/>
              </w:rPr>
              <w:t>1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eastAsia="方正仿宋简体" w:cs="方正仿宋简体"/>
                <w:sz w:val="24"/>
              </w:rPr>
              <w:t>2024年03月0</w:t>
            </w:r>
            <w:r>
              <w:rPr>
                <w:rFonts w:hint="eastAsia" w:ascii="方正仿宋简体" w:hAnsi="方正仿宋简体" w:eastAsia="方正仿宋简体" w:cs="方正仿宋简体"/>
                <w:sz w:val="24"/>
                <w:lang w:val="en-US" w:eastAsia="zh-CN"/>
              </w:rPr>
              <w:t>2</w:t>
            </w:r>
            <w:bookmarkStart w:id="0" w:name="_GoBack"/>
            <w:bookmarkEnd w:id="0"/>
            <w:r>
              <w:rPr>
                <w:rFonts w:ascii="方正仿宋简体" w:hAnsi="方正仿宋简体" w:eastAsia="方正仿宋简体" w:cs="方正仿宋简体"/>
                <w:sz w:val="24"/>
              </w:rPr>
              <w:t>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eastAsia="方正仿宋简体" w:cs="方正仿宋简体"/>
                <w:sz w:val="24"/>
              </w:rPr>
              <w:t>安吉县产业投资发展集团有限公司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eastAsia="方正仿宋简体" w:cs="方正仿宋简体"/>
                <w:sz w:val="24"/>
              </w:rPr>
              <w:t>23安吉产投02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hint="eastAsia" w:ascii="方正仿宋简体" w:eastAsia="方正仿宋简体"/>
                <w:sz w:val="24"/>
                <w:szCs w:val="24"/>
                <w:lang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4"/>
                <w:lang w:val="en-US" w:eastAsia="zh-CN"/>
              </w:rPr>
              <w:t>0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eastAsia="方正仿宋简体" w:cs="方正仿宋简体"/>
                <w:sz w:val="24"/>
              </w:rPr>
              <w:t>利随本清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eastAsia="方正仿宋简体" w:cs="方正仿宋简体"/>
                <w:sz w:val="24"/>
              </w:rPr>
              <w:t>理财直接融资工具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eastAsia="方正仿宋简体" w:cs="方正仿宋简体"/>
                <w:sz w:val="24"/>
              </w:rPr>
              <w:t>正常</w:t>
            </w:r>
          </w:p>
        </w:tc>
      </w:tr>
    </w:tbl>
    <w:p>
      <w:pPr>
        <w:spacing w:line="360" w:lineRule="auto"/>
        <w:ind w:firstLine="480" w:firstLineChars="200"/>
        <w:rPr>
          <w:rFonts w:ascii="方正仿宋简体" w:eastAsia="方正仿宋简体"/>
          <w:sz w:val="24"/>
          <w:szCs w:val="24"/>
        </w:rPr>
      </w:pPr>
    </w:p>
    <w:p>
      <w:pPr>
        <w:spacing w:line="360" w:lineRule="auto"/>
        <w:ind w:firstLine="480" w:firstLineChars="200"/>
        <w:rPr>
          <w:rFonts w:ascii="方正仿宋简体" w:eastAsia="方正仿宋简体"/>
          <w:sz w:val="24"/>
          <w:szCs w:val="24"/>
        </w:rPr>
      </w:pPr>
    </w:p>
    <w:p>
      <w:pPr>
        <w:spacing w:line="360" w:lineRule="auto"/>
        <w:ind w:firstLine="480" w:firstLineChars="200"/>
        <w:rPr>
          <w:rFonts w:ascii="方正仿宋简体" w:eastAsia="方正仿宋简体"/>
          <w:sz w:val="24"/>
          <w:szCs w:val="24"/>
        </w:rPr>
      </w:pPr>
    </w:p>
    <w:p>
      <w:pPr>
        <w:spacing w:line="360" w:lineRule="auto"/>
        <w:ind w:firstLine="440" w:firstLineChars="200"/>
        <w:rPr>
          <w:sz w:val="22"/>
        </w:rPr>
      </w:pPr>
    </w:p>
    <w:p>
      <w:pPr>
        <w:spacing w:line="360" w:lineRule="auto"/>
        <w:ind w:firstLine="480" w:firstLineChars="200"/>
        <w:rPr>
          <w:rFonts w:ascii="方正仿宋简体" w:eastAsia="方正仿宋简体"/>
          <w:sz w:val="24"/>
          <w:szCs w:val="24"/>
        </w:rPr>
      </w:pPr>
      <w:r>
        <w:rPr>
          <w:rFonts w:hint="eastAsia" w:ascii="方正仿宋简体" w:eastAsia="方正仿宋简体"/>
          <w:sz w:val="24"/>
          <w:szCs w:val="24"/>
        </w:rPr>
        <w:t>如您对本公告有任何疑问，可联系本理财产品代销机构或本公司，代销机构及本公司将竭诚为您服务。</w:t>
      </w:r>
    </w:p>
    <w:p>
      <w:pPr>
        <w:spacing w:line="360" w:lineRule="auto"/>
        <w:ind w:firstLine="480" w:firstLineChars="200"/>
        <w:rPr>
          <w:sz w:val="22"/>
        </w:rPr>
      </w:pPr>
      <w:r>
        <w:rPr>
          <w:rFonts w:hint="eastAsia" w:ascii="方正仿宋简体" w:eastAsia="方正仿宋简体"/>
          <w:sz w:val="24"/>
          <w:szCs w:val="24"/>
        </w:rPr>
        <w:t>感谢您一直以来的支持和信赖！</w:t>
      </w:r>
    </w:p>
    <w:p>
      <w:pPr>
        <w:pStyle w:val="9"/>
        <w:rPr>
          <w:sz w:val="22"/>
        </w:rPr>
      </w:pPr>
    </w:p>
    <w:p>
      <w:pPr>
        <w:spacing w:line="360" w:lineRule="auto"/>
        <w:ind w:firstLine="480" w:firstLineChars="200"/>
        <w:jc w:val="right"/>
        <w:rPr>
          <w:rFonts w:ascii="方正仿宋简体" w:eastAsia="方正仿宋简体"/>
          <w:sz w:val="24"/>
          <w:szCs w:val="24"/>
        </w:rPr>
      </w:pPr>
      <w:r>
        <w:rPr>
          <w:rFonts w:hint="eastAsia" w:ascii="方正仿宋简体" w:eastAsia="方正仿宋简体"/>
          <w:sz w:val="24"/>
          <w:szCs w:val="24"/>
        </w:rPr>
        <w:t>南银理财有限责任公司</w:t>
      </w:r>
    </w:p>
    <w:p>
      <w:pPr>
        <w:spacing w:line="360" w:lineRule="auto"/>
        <w:ind w:firstLine="480" w:firstLineChars="200"/>
        <w:jc w:val="right"/>
        <w:rPr>
          <w:rFonts w:ascii="方正仿宋简体" w:hAnsi="Verdana" w:eastAsia="方正仿宋简体" w:cs="Verdana"/>
          <w:sz w:val="24"/>
          <w:szCs w:val="24"/>
          <w:shd w:val="clear" w:color="auto" w:fill="FFFFFF"/>
        </w:rPr>
      </w:pPr>
      <w:r>
        <w:rPr>
          <w:rFonts w:hint="eastAsia" w:ascii="方正仿宋简体" w:hAnsi="仿宋_GB2312" w:eastAsia="方正仿宋简体" w:cs="仿宋_GB2312"/>
          <w:sz w:val="24"/>
          <w:szCs w:val="24"/>
        </w:rPr>
        <w:t>2024年03月05日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黑体简体">
    <w:altName w:val="Arial Unicode MS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mI1ZTFiZDE4YTkwYzczMTUwYmI4ZTY3NzY0NjVhNGQifQ=="/>
  </w:docVars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  <w:rsid w:val="212C3C0C"/>
    <w:rsid w:val="6AE31A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0"/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uiPriority w:val="99"/>
    <w:rPr>
      <w:sz w:val="18"/>
      <w:szCs w:val="18"/>
    </w:rPr>
  </w:style>
  <w:style w:type="character" w:customStyle="1" w:styleId="8">
    <w:name w:val="页脚 Char"/>
    <w:basedOn w:val="6"/>
    <w:link w:val="2"/>
    <w:uiPriority w:val="99"/>
    <w:rPr>
      <w:sz w:val="18"/>
      <w:szCs w:val="18"/>
    </w:rPr>
  </w:style>
  <w:style w:type="paragraph" w:customStyle="1" w:styleId="9">
    <w:name w:val="引文目录1"/>
    <w:basedOn w:val="1"/>
    <w:next w:val="1"/>
    <w:qFormat/>
    <w:uiPriority w:val="0"/>
    <w:pPr>
      <w:ind w:left="420" w:left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352</Words>
  <Characters>406</Characters>
  <Lines>4</Lines>
  <Paragraphs>1</Paragraphs>
  <TotalTime>55</TotalTime>
  <ScaleCrop>false</ScaleCrop>
  <LinksUpToDate>false</LinksUpToDate>
  <CharactersWithSpaces>406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2023-11-10T03:01:00Z</dcterms:created>
  <dc:creator>admin</dc:creator>
  <cp:lastModifiedBy>njcb</cp:lastModifiedBy>
  <dcterms:modified xsi:type="dcterms:W3CDTF">2024-03-05T06:21:49Z</dcterms:modified>
  <cp:revision>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51883165BF8C4C1BA034612BF20063AC_12</vt:lpwstr>
  </property>
</Properties>
</file>