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黑体简体" w:hAnsi="黑体" w:eastAsia="方正黑体简体"/>
          <w:b/>
          <w:sz w:val="24"/>
        </w:rPr>
      </w:pPr>
      <w:r>
        <w:rPr>
          <w:rFonts w:ascii="方正黑体简体" w:hAnsi="黑体" w:eastAsia="方正黑体简体"/>
          <w:b/>
          <w:sz w:val="24"/>
        </w:rPr>
        <w:t>南银理财珠联璧合鑫逸稳一年94期封闭式公募人民币理财产品</w:t>
      </w:r>
      <w:r>
        <w:rPr>
          <w:rFonts w:hint="eastAsia" w:ascii="方正黑体简体" w:hAnsi="黑体" w:eastAsia="方正黑体简体"/>
          <w:b/>
          <w:sz w:val="24"/>
        </w:rPr>
        <w:t>到期公告</w:t>
      </w:r>
    </w:p>
    <w:p>
      <w:pPr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尊敬的投资者：</w:t>
      </w:r>
    </w:p>
    <w:p>
      <w:pPr>
        <w:ind w:firstLine="420" w:firstLineChars="20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本公司发行的理财产品已到期，现将有关情况公告如下：</w:t>
      </w:r>
    </w:p>
    <w:tbl>
      <w:tblPr>
        <w:tblStyle w:val="7"/>
        <w:tblW w:w="8522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产品名称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南银理财珠联璧合鑫逸稳一年94期封闭式公募人民币理财产品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产品代码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ZZ700322202449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理财登记编码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Z7003223000001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成立日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2023年01月11日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到期日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2024年02月21日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期限（天）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406</w:t>
            </w:r>
          </w:p>
        </w:tc>
      </w:tr>
    </w:tbl>
    <w:p>
      <w:pPr>
        <w:rPr>
          <w:rFonts w:ascii="方正仿宋简体" w:hAnsi="仿宋_GB2312" w:eastAsia="方正仿宋简体" w:cs="仿宋_GB2312"/>
        </w:rPr>
      </w:pPr>
    </w:p>
    <w:p>
      <w:pPr>
        <w:ind w:firstLine="420" w:firstLineChars="20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产品净值收益表现</w:t>
      </w:r>
    </w:p>
    <w:tbl>
      <w:tblPr>
        <w:tblStyle w:val="8"/>
        <w:tblW w:w="8500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174"/>
        <w:gridCol w:w="1974"/>
        <w:gridCol w:w="2278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2074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销售代码</w:t>
            </w:r>
          </w:p>
        </w:tc>
        <w:tc>
          <w:tcPr>
            <w:tcW w:w="2174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累计净值</w:t>
            </w:r>
          </w:p>
        </w:tc>
        <w:tc>
          <w:tcPr>
            <w:tcW w:w="1974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参考年化收益率</w:t>
            </w:r>
          </w:p>
        </w:tc>
        <w:tc>
          <w:tcPr>
            <w:tcW w:w="2278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客户收益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Y30094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1.0449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4.03%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2,420,734.95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Y31094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1.0460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4.14%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3,916,294.38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Y32094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1.0472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4.24%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65,781,860.15</w:t>
            </w:r>
          </w:p>
        </w:tc>
      </w:tr>
    </w:tbl>
    <w:p>
      <w:pPr>
        <w:rPr>
          <w:rFonts w:ascii="方正仿宋简体" w:hAnsi="仿宋_GB2312" w:eastAsia="方正仿宋简体" w:cs="仿宋_GB2312"/>
        </w:rPr>
      </w:pPr>
    </w:p>
    <w:p>
      <w:pPr>
        <w:ind w:firstLine="420" w:firstLineChars="20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收费情况（以下费用包含所有子代码产品费用）：</w:t>
      </w:r>
    </w:p>
    <w:tbl>
      <w:tblPr>
        <w:tblStyle w:val="7"/>
        <w:tblW w:w="8522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费用名称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金额（元）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托管费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348,663.22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固定管理费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1,901,206.18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业绩报酬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747,185.07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销售费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1,804,542.88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申购费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-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赎回费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-</w:t>
            </w:r>
          </w:p>
        </w:tc>
      </w:tr>
    </w:tbl>
    <w:p>
      <w:pPr>
        <w:rPr>
          <w:rFonts w:ascii="方正仿宋简体" w:hAnsi="仿宋_GB2312" w:eastAsia="方正仿宋简体" w:cs="仿宋_GB2312"/>
        </w:rPr>
      </w:pPr>
    </w:p>
    <w:p>
      <w:pPr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注：1.清算资金将划转至投资者指定账户，具体到账日期以产品说明书为准。</w:t>
      </w:r>
    </w:p>
    <w:p>
      <w:pPr>
        <w:ind w:firstLine="42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2.请继续关注正在销售的其他产品。</w:t>
      </w:r>
    </w:p>
    <w:p>
      <w:pPr>
        <w:ind w:firstLine="42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after="120"/>
        <w:ind w:firstLine="42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特此公告。</w:t>
      </w:r>
    </w:p>
    <w:p>
      <w:pPr>
        <w:spacing w:line="360" w:lineRule="auto"/>
        <w:rPr>
          <w:rFonts w:ascii="方正仿宋简体" w:hAnsi="仿宋_GB2312" w:eastAsia="方正仿宋简体" w:cs="仿宋_GB2312"/>
          <w:sz w:val="24"/>
        </w:rPr>
      </w:pPr>
    </w:p>
    <w:p>
      <w:pPr>
        <w:spacing w:line="360" w:lineRule="auto"/>
        <w:ind w:firstLine="5040" w:firstLineChars="2400"/>
        <w:jc w:val="right"/>
        <w:rPr>
          <w:rFonts w:ascii="方正仿宋简体" w:hAnsi="仿宋_GB2312" w:eastAsia="方正仿宋简体" w:cs="仿宋_GB2312"/>
          <w:szCs w:val="21"/>
        </w:rPr>
      </w:pPr>
      <w:r>
        <w:rPr>
          <w:rFonts w:hint="eastAsia" w:ascii="方正仿宋简体" w:hAnsi="仿宋_GB2312" w:eastAsia="方正仿宋简体" w:cs="仿宋_GB2312"/>
          <w:szCs w:val="21"/>
        </w:rPr>
        <w:t>南银理财有限责任公司</w:t>
      </w:r>
    </w:p>
    <w:p>
      <w:pPr>
        <w:spacing w:line="360" w:lineRule="auto"/>
        <w:ind w:firstLine="420"/>
        <w:jc w:val="right"/>
        <w:rPr>
          <w:rFonts w:ascii="方正仿宋简体" w:hAnsi="仿宋_GB2312" w:eastAsia="方正仿宋简体" w:cs="仿宋_GB2312"/>
          <w:szCs w:val="21"/>
        </w:rPr>
      </w:pPr>
      <w:r>
        <w:rPr>
          <w:rFonts w:ascii="方正仿宋简体" w:hAnsi="仿宋_GB2312" w:eastAsia="方正仿宋简体" w:cs="仿宋_GB2312"/>
          <w:szCs w:val="21"/>
        </w:rPr>
        <w:t>2024年02月21日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I1ZTFiZDE4YTkwYzczMTUwYmI4ZTY3NzY0NjVhNGQifQ=="/>
  </w:docVars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CD54EA8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uiPriority w:val="0"/>
    <w:rPr>
      <w:sz w:val="18"/>
      <w:szCs w:val="18"/>
    </w:rPr>
  </w:style>
  <w:style w:type="paragraph" w:styleId="5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nhideWhenUsed/>
    <w:qFormat/>
    <w:uiPriority w:val="0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脚 Char"/>
    <w:basedOn w:val="9"/>
    <w:link w:val="5"/>
    <w:qFormat/>
    <w:uiPriority w:val="0"/>
    <w:rPr>
      <w:kern w:val="2"/>
      <w:sz w:val="18"/>
      <w:szCs w:val="18"/>
    </w:rPr>
  </w:style>
  <w:style w:type="character" w:customStyle="1" w:styleId="11">
    <w:name w:val="批注框文本 Char"/>
    <w:basedOn w:val="9"/>
    <w:link w:val="4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361</Words>
  <Characters>524</Characters>
  <Lines>4</Lines>
  <Paragraphs>1</Paragraphs>
  <TotalTime>0</TotalTime>
  <ScaleCrop>false</ScaleCrop>
  <LinksUpToDate>false</LinksUpToDate>
  <CharactersWithSpaces>524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2022-07-26T05:58:00Z</dcterms:created>
  <dc:creator>DELL</dc:creator>
  <cp:lastModifiedBy>njcb</cp:lastModifiedBy>
  <cp:lastPrinted>2021-03-29T09:44:00Z</cp:lastPrinted>
  <dcterms:modified xsi:type="dcterms:W3CDTF">2024-02-21T02:29:11Z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EC5F15B380314F628661D4FF0872FE3F</vt:lpwstr>
  </property>
</Properties>
</file>