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center"/>
        <w:rPr>
          <w:rFonts w:ascii="黑体" w:hAnsi="黑体" w:eastAsia="黑体" w:cs="黑体"/>
          <w:kern w:val="36"/>
          <w:sz w:val="28"/>
          <w:szCs w:val="28"/>
        </w:rPr>
      </w:pPr>
      <w:r>
        <w:rPr>
          <w:rFonts w:hint="eastAsia" w:ascii="黑体" w:hAnsi="黑体" w:eastAsia="黑体" w:cs="黑体"/>
          <w:kern w:val="36"/>
          <w:sz w:val="28"/>
          <w:szCs w:val="28"/>
        </w:rPr>
        <w:t>关于“兴业银行天天万利宝稳利2号净值型理财产品</w:t>
      </w:r>
      <w:r>
        <w:rPr>
          <w:rFonts w:hint="eastAsia" w:ascii="黑体" w:hAnsi="黑体" w:eastAsia="黑体" w:cs="黑体"/>
          <w:kern w:val="36"/>
          <w:sz w:val="28"/>
          <w:szCs w:val="28"/>
          <w:lang w:val="en-US" w:eastAsia="zh-CN"/>
        </w:rPr>
        <w:t>B</w:t>
      </w:r>
      <w:r>
        <w:rPr>
          <w:rFonts w:hint="eastAsia" w:ascii="黑体" w:hAnsi="黑体" w:eastAsia="黑体" w:cs="黑体"/>
          <w:kern w:val="36"/>
          <w:sz w:val="28"/>
          <w:szCs w:val="28"/>
        </w:rPr>
        <w:t>款”销售文件变更的公告</w:t>
      </w:r>
    </w:p>
    <w:p>
      <w:pPr>
        <w:widowControl/>
        <w:shd w:val="clear" w:color="auto" w:fill="FFFFFF"/>
        <w:spacing w:line="360" w:lineRule="auto"/>
        <w:jc w:val="center"/>
        <w:rPr>
          <w:rFonts w:ascii="黑体" w:hAnsi="黑体" w:eastAsia="黑体" w:cs="黑体"/>
          <w:kern w:val="36"/>
          <w:sz w:val="28"/>
          <w:szCs w:val="28"/>
        </w:rPr>
      </w:pPr>
    </w:p>
    <w:p>
      <w:pPr>
        <w:autoSpaceDE w:val="0"/>
        <w:autoSpaceDN w:val="0"/>
        <w:adjustRightInd w:val="0"/>
        <w:spacing w:before="120" w:after="120" w:line="360" w:lineRule="auto"/>
        <w:jc w:val="left"/>
        <w:rPr>
          <w:rFonts w:ascii="仿宋_GB2312" w:hAnsi="宋体" w:eastAsia="仿宋_GB2312" w:cs="宋体"/>
          <w:b/>
          <w:kern w:val="0"/>
          <w:szCs w:val="21"/>
        </w:rPr>
      </w:pPr>
      <w:r>
        <w:rPr>
          <w:rFonts w:hint="eastAsia" w:ascii="仿宋_GB2312" w:hAnsi="宋体" w:eastAsia="仿宋_GB2312" w:cs="宋体"/>
          <w:b/>
          <w:kern w:val="0"/>
          <w:szCs w:val="21"/>
        </w:rPr>
        <w:t>尊敬</w:t>
      </w:r>
      <w:r>
        <w:rPr>
          <w:rFonts w:ascii="仿宋_GB2312" w:hAnsi="宋体" w:eastAsia="仿宋_GB2312" w:cs="宋体"/>
          <w:b/>
          <w:kern w:val="0"/>
          <w:szCs w:val="21"/>
        </w:rPr>
        <w:t>的投资者：</w:t>
      </w:r>
      <w:bookmarkStart w:id="0" w:name="_GoBack"/>
      <w:bookmarkEnd w:id="0"/>
    </w:p>
    <w:p>
      <w:pPr>
        <w:autoSpaceDE w:val="0"/>
        <w:autoSpaceDN w:val="0"/>
        <w:adjustRightInd w:val="0"/>
        <w:spacing w:before="120" w:after="120" w:line="360" w:lineRule="auto"/>
        <w:ind w:firstLine="420" w:firstLineChars="200"/>
        <w:jc w:val="left"/>
        <w:rPr>
          <w:rFonts w:ascii="仿宋_GB2312" w:hAnsi="宋体" w:eastAsia="仿宋_GB2312" w:cs="宋体"/>
          <w:kern w:val="0"/>
          <w:szCs w:val="21"/>
        </w:rPr>
      </w:pPr>
      <w:r>
        <w:rPr>
          <w:rFonts w:ascii="仿宋_GB2312" w:hAnsi="宋体" w:eastAsia="仿宋_GB2312" w:cs="宋体"/>
          <w:kern w:val="0"/>
          <w:szCs w:val="21"/>
        </w:rPr>
        <w:t>感谢您持有理财产品（理财产品名称：兴业银行天天万利宝稳利2号净值型理财产品</w:t>
      </w:r>
      <w:r>
        <w:rPr>
          <w:rFonts w:hint="eastAsia" w:ascii="仿宋_GB2312" w:hAnsi="宋体" w:eastAsia="仿宋_GB2312" w:cs="宋体"/>
          <w:kern w:val="0"/>
          <w:szCs w:val="21"/>
          <w:lang w:val="en-US" w:eastAsia="zh-CN"/>
        </w:rPr>
        <w:t>B</w:t>
      </w:r>
      <w:r>
        <w:rPr>
          <w:rFonts w:ascii="仿宋_GB2312" w:hAnsi="宋体" w:eastAsia="仿宋_GB2312" w:cs="宋体"/>
          <w:kern w:val="0"/>
          <w:szCs w:val="21"/>
        </w:rPr>
        <w:t>款，产品登记编码：【Z700202000001</w:t>
      </w:r>
      <w:r>
        <w:rPr>
          <w:rFonts w:hint="eastAsia" w:ascii="仿宋_GB2312" w:hAnsi="宋体" w:eastAsia="仿宋_GB2312" w:cs="宋体"/>
          <w:kern w:val="0"/>
          <w:szCs w:val="21"/>
          <w:lang w:val="en-US" w:eastAsia="zh-CN"/>
        </w:rPr>
        <w:t>9</w:t>
      </w:r>
      <w:r>
        <w:rPr>
          <w:rFonts w:ascii="仿宋_GB2312" w:hAnsi="宋体" w:eastAsia="仿宋_GB2312" w:cs="宋体"/>
          <w:kern w:val="0"/>
          <w:szCs w:val="21"/>
        </w:rPr>
        <w:t>】，产品代码：【</w:t>
      </w:r>
      <w:r>
        <w:rPr>
          <w:rFonts w:hint="eastAsia" w:ascii="仿宋_GB2312" w:hAnsi="宋体" w:eastAsia="仿宋_GB2312" w:cs="宋体"/>
          <w:kern w:val="0"/>
          <w:szCs w:val="21"/>
        </w:rPr>
        <w:t>9K218</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22</w:t>
      </w:r>
      <w:r>
        <w:rPr>
          <w:rFonts w:ascii="仿宋_GB2312" w:hAnsi="宋体" w:eastAsia="仿宋_GB2312" w:cs="宋体"/>
          <w:kern w:val="0"/>
          <w:szCs w:val="21"/>
        </w:rPr>
        <w:t>】）（以下简称“本产品”），本产品于【2018】年【</w:t>
      </w:r>
      <w:r>
        <w:rPr>
          <w:rFonts w:hint="eastAsia" w:ascii="仿宋_GB2312" w:hAnsi="宋体" w:eastAsia="仿宋_GB2312" w:cs="宋体"/>
          <w:kern w:val="0"/>
          <w:szCs w:val="21"/>
        </w:rPr>
        <w:t>0</w:t>
      </w:r>
      <w:r>
        <w:rPr>
          <w:rFonts w:ascii="仿宋_GB2312" w:hAnsi="宋体" w:eastAsia="仿宋_GB2312" w:cs="宋体"/>
          <w:kern w:val="0"/>
          <w:szCs w:val="21"/>
        </w:rPr>
        <w:t>8】月【</w:t>
      </w:r>
      <w:r>
        <w:rPr>
          <w:rFonts w:hint="eastAsia" w:ascii="仿宋_GB2312" w:hAnsi="宋体" w:eastAsia="仿宋_GB2312" w:cs="宋体"/>
          <w:kern w:val="0"/>
          <w:szCs w:val="21"/>
          <w:lang w:val="en-US" w:eastAsia="zh-CN"/>
        </w:rPr>
        <w:t>21</w:t>
      </w:r>
      <w:r>
        <w:rPr>
          <w:rFonts w:ascii="仿宋_GB2312" w:hAnsi="宋体" w:eastAsia="仿宋_GB2312" w:cs="宋体"/>
          <w:kern w:val="0"/>
          <w:szCs w:val="21"/>
        </w:rPr>
        <w:t>】日成立并投资运作至今。</w:t>
      </w:r>
    </w:p>
    <w:p>
      <w:pPr>
        <w:autoSpaceDE w:val="0"/>
        <w:autoSpaceDN w:val="0"/>
        <w:adjustRightInd w:val="0"/>
        <w:spacing w:before="120" w:after="120"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为了更好的提供投资者服务，现根据本产品投资运作安排，管理人将变更理财产品销售文件。特就本次变更有关的以下事项进行公告：</w:t>
      </w:r>
    </w:p>
    <w:p>
      <w:pPr>
        <w:autoSpaceDE w:val="0"/>
        <w:autoSpaceDN w:val="0"/>
        <w:adjustRightInd w:val="0"/>
        <w:spacing w:before="120" w:after="120" w:line="360" w:lineRule="auto"/>
        <w:ind w:firstLine="422" w:firstLineChars="200"/>
        <w:jc w:val="left"/>
        <w:rPr>
          <w:rFonts w:ascii="仿宋_GB2312" w:hAnsi="宋体" w:eastAsia="仿宋_GB2312" w:cs="宋体"/>
          <w:b/>
          <w:kern w:val="0"/>
          <w:szCs w:val="21"/>
        </w:rPr>
      </w:pPr>
      <w:r>
        <w:rPr>
          <w:rFonts w:hint="eastAsia" w:ascii="仿宋_GB2312" w:hAnsi="宋体" w:eastAsia="仿宋_GB2312" w:cs="宋体"/>
          <w:b/>
          <w:kern w:val="0"/>
          <w:szCs w:val="21"/>
        </w:rPr>
        <w:t>一、理财产品销售文件的变更</w:t>
      </w:r>
    </w:p>
    <w:p>
      <w:pPr>
        <w:autoSpaceDE w:val="0"/>
        <w:autoSpaceDN w:val="0"/>
        <w:adjustRightInd w:val="0"/>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（一）理财产品投资范围的变更</w:t>
      </w:r>
    </w:p>
    <w:p>
      <w:pPr>
        <w:pStyle w:val="19"/>
        <w:spacing w:line="360" w:lineRule="auto"/>
        <w:ind w:firstLine="420" w:firstLineChars="20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hint="eastAsia" w:ascii="仿宋_GB2312" w:eastAsia="仿宋_GB2312" w:hAnsiTheme="minorHAnsi"/>
          <w:color w:val="5F5F5F"/>
          <w:sz w:val="21"/>
          <w:szCs w:val="21"/>
        </w:rPr>
        <w:t>理财</w:t>
      </w:r>
      <w:r>
        <w:rPr>
          <w:rFonts w:ascii="仿宋_GB2312" w:eastAsia="仿宋_GB2312" w:hAnsiTheme="minorHAnsi"/>
          <w:color w:val="5F5F5F"/>
          <w:sz w:val="21"/>
          <w:szCs w:val="21"/>
        </w:rPr>
        <w:t>产品销售文件</w:t>
      </w:r>
      <w:r>
        <w:rPr>
          <w:rFonts w:hint="eastAsia" w:ascii="仿宋_GB2312" w:eastAsia="仿宋_GB2312" w:hAnsiTheme="minorHAnsi"/>
          <w:color w:val="5F5F5F"/>
          <w:sz w:val="21"/>
          <w:szCs w:val="21"/>
        </w:rPr>
        <w:t>中</w:t>
      </w:r>
      <w:r>
        <w:rPr>
          <w:rFonts w:ascii="仿宋_GB2312" w:eastAsia="仿宋_GB2312" w:hAnsiTheme="minorHAnsi"/>
          <w:color w:val="5F5F5F"/>
          <w:sz w:val="21"/>
          <w:szCs w:val="21"/>
        </w:rPr>
        <w:t>理财产品说明书</w:t>
      </w:r>
      <w:r>
        <w:rPr>
          <w:rFonts w:hint="eastAsia" w:ascii="仿宋_GB2312" w:eastAsia="仿宋_GB2312" w:hAnsiTheme="minorHAnsi"/>
          <w:color w:val="5F5F5F"/>
          <w:sz w:val="21"/>
          <w:szCs w:val="21"/>
        </w:rPr>
        <w:t>“第五条  理财产品的投资”“（二）投资范围和比例”内容。</w:t>
      </w:r>
    </w:p>
    <w:p>
      <w:pPr>
        <w:pStyle w:val="8"/>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调整前：</w:t>
      </w:r>
    </w:p>
    <w:p>
      <w:pPr>
        <w:pStyle w:val="8"/>
        <w:shd w:val="clear" w:color="auto" w:fill="FFFFFF"/>
        <w:ind w:firstLine="480"/>
        <w:rPr>
          <w:rFonts w:ascii="仿宋_GB2312" w:eastAsia="仿宋_GB2312"/>
          <w:bCs/>
          <w:color w:val="5F5F5F"/>
          <w:sz w:val="21"/>
          <w:szCs w:val="21"/>
        </w:rPr>
      </w:pPr>
      <w:r>
        <w:rPr>
          <w:rFonts w:ascii="仿宋_GB2312" w:eastAsia="仿宋_GB2312" w:hAnsiTheme="minorHAnsi"/>
          <w:color w:val="5F5F5F"/>
          <w:sz w:val="21"/>
          <w:szCs w:val="21"/>
        </w:rPr>
        <w:t>“</w:t>
      </w:r>
      <w:r>
        <w:rPr>
          <w:rFonts w:ascii="仿宋_GB2312" w:eastAsia="仿宋_GB2312"/>
          <w:bCs/>
          <w:color w:val="5F5F5F"/>
          <w:sz w:val="21"/>
          <w:szCs w:val="21"/>
        </w:rPr>
        <w:t>2</w:t>
      </w:r>
      <w:r>
        <w:rPr>
          <w:rFonts w:hint="eastAsia" w:ascii="仿宋_GB2312" w:eastAsia="仿宋_GB2312"/>
          <w:bCs/>
          <w:color w:val="5F5F5F"/>
          <w:sz w:val="21"/>
          <w:szCs w:val="21"/>
        </w:rPr>
        <w:t>.投资组合比例：</w:t>
      </w:r>
    </w:p>
    <w:p>
      <w:pPr>
        <w:pStyle w:val="8"/>
        <w:shd w:val="clear" w:color="auto" w:fill="FFFFFF"/>
        <w:ind w:firstLine="480"/>
        <w:rPr>
          <w:rFonts w:ascii="仿宋_GB2312" w:eastAsia="仿宋_GB2312"/>
          <w:bCs/>
          <w:color w:val="5F5F5F"/>
          <w:sz w:val="21"/>
          <w:szCs w:val="21"/>
        </w:rPr>
      </w:pPr>
      <w:r>
        <w:rPr>
          <w:rFonts w:hint="eastAsia" w:ascii="仿宋_GB2312" w:eastAsia="仿宋_GB2312"/>
          <w:bCs/>
          <w:color w:val="5F5F5F"/>
          <w:sz w:val="21"/>
          <w:szCs w:val="21"/>
        </w:rPr>
        <w:t>（</w:t>
      </w:r>
      <w:r>
        <w:rPr>
          <w:rFonts w:ascii="仿宋_GB2312" w:eastAsia="仿宋_GB2312"/>
          <w:bCs/>
          <w:color w:val="5F5F5F"/>
          <w:sz w:val="21"/>
          <w:szCs w:val="21"/>
        </w:rPr>
        <w:t>1）</w:t>
      </w:r>
      <w:r>
        <w:rPr>
          <w:rFonts w:hint="eastAsia" w:ascii="仿宋_GB2312" w:eastAsia="仿宋_GB2312"/>
          <w:bCs/>
          <w:color w:val="5F5F5F"/>
          <w:sz w:val="21"/>
          <w:szCs w:val="21"/>
        </w:rPr>
        <w:t>本产品投资于固定收益类资产的比例不低于产品总资产的</w:t>
      </w:r>
      <w:r>
        <w:rPr>
          <w:rFonts w:ascii="仿宋_GB2312" w:eastAsia="仿宋_GB2312"/>
          <w:bCs/>
          <w:color w:val="5F5F5F"/>
          <w:sz w:val="21"/>
          <w:szCs w:val="21"/>
        </w:rPr>
        <w:t>80%</w:t>
      </w:r>
      <w:r>
        <w:rPr>
          <w:rFonts w:hint="eastAsia" w:ascii="仿宋_GB2312" w:eastAsia="仿宋_GB2312"/>
          <w:bCs/>
          <w:color w:val="5F5F5F"/>
          <w:sz w:val="21"/>
          <w:szCs w:val="21"/>
        </w:rPr>
        <w:t>。</w:t>
      </w:r>
      <w:r>
        <w:rPr>
          <w:rFonts w:ascii="仿宋_GB2312" w:eastAsia="仿宋_GB2312"/>
          <w:bCs/>
          <w:color w:val="5F5F5F"/>
          <w:sz w:val="21"/>
          <w:szCs w:val="21"/>
        </w:rPr>
        <w:t xml:space="preserve"> </w:t>
      </w:r>
    </w:p>
    <w:p>
      <w:pPr>
        <w:pStyle w:val="8"/>
        <w:shd w:val="clear" w:color="auto" w:fill="FFFFFF"/>
        <w:ind w:firstLine="480"/>
        <w:rPr>
          <w:rFonts w:ascii="仿宋_GB2312" w:eastAsia="仿宋_GB2312"/>
          <w:bCs/>
          <w:color w:val="5F5F5F"/>
          <w:sz w:val="21"/>
          <w:szCs w:val="21"/>
        </w:rPr>
      </w:pPr>
      <w:r>
        <w:rPr>
          <w:rFonts w:hint="eastAsia" w:ascii="仿宋_GB2312" w:eastAsia="仿宋_GB2312"/>
          <w:bCs/>
          <w:color w:val="5F5F5F"/>
          <w:sz w:val="21"/>
          <w:szCs w:val="21"/>
        </w:rPr>
        <w:t>（2）</w:t>
      </w:r>
      <w:r>
        <w:rPr>
          <w:rFonts w:ascii="仿宋_GB2312" w:eastAsia="仿宋_GB2312"/>
          <w:bCs/>
          <w:color w:val="5F5F5F"/>
          <w:sz w:val="21"/>
          <w:szCs w:val="21"/>
        </w:rPr>
        <w:t>符合监管要求的非标准化债权类资产低于产品</w:t>
      </w:r>
      <w:r>
        <w:rPr>
          <w:rFonts w:hint="eastAsia" w:ascii="仿宋_GB2312" w:eastAsia="仿宋_GB2312"/>
          <w:bCs/>
          <w:color w:val="5F5F5F"/>
          <w:sz w:val="21"/>
          <w:szCs w:val="21"/>
        </w:rPr>
        <w:t>净</w:t>
      </w:r>
      <w:r>
        <w:rPr>
          <w:rFonts w:ascii="仿宋_GB2312" w:eastAsia="仿宋_GB2312"/>
          <w:bCs/>
          <w:color w:val="5F5F5F"/>
          <w:sz w:val="21"/>
          <w:szCs w:val="21"/>
        </w:rPr>
        <w:t>资产的50%。</w:t>
      </w:r>
    </w:p>
    <w:p>
      <w:pPr>
        <w:pStyle w:val="8"/>
        <w:shd w:val="clear" w:color="auto" w:fill="FFFFFF"/>
        <w:ind w:firstLine="480"/>
        <w:rPr>
          <w:rFonts w:ascii="仿宋_GB2312" w:eastAsia="仿宋_GB2312"/>
          <w:bCs/>
          <w:color w:val="5F5F5F"/>
          <w:sz w:val="21"/>
          <w:szCs w:val="21"/>
        </w:rPr>
      </w:pPr>
      <w:r>
        <w:rPr>
          <w:rFonts w:hint="eastAsia" w:ascii="仿宋_GB2312" w:eastAsia="仿宋_GB2312"/>
          <w:bCs/>
          <w:color w:val="5F5F5F"/>
          <w:sz w:val="21"/>
          <w:szCs w:val="21"/>
        </w:rPr>
        <w:t>（3）国债期货、利率互换、信用风险缓释工具等衍生品占产品总资产比例低于20%。</w:t>
      </w:r>
    </w:p>
    <w:p>
      <w:pPr>
        <w:pStyle w:val="8"/>
        <w:shd w:val="clear" w:color="auto" w:fill="FFFFFF"/>
        <w:spacing w:line="360" w:lineRule="auto"/>
        <w:ind w:firstLine="480"/>
        <w:rPr>
          <w:rFonts w:ascii="仿宋_GB2312" w:eastAsia="仿宋_GB2312" w:hAnsiTheme="minorHAnsi"/>
          <w:color w:val="5F5F5F"/>
          <w:sz w:val="21"/>
          <w:szCs w:val="21"/>
        </w:rPr>
      </w:pPr>
      <w:r>
        <w:rPr>
          <w:rFonts w:hint="eastAsia" w:ascii="仿宋_GB2312" w:eastAsia="仿宋_GB2312"/>
          <w:b/>
          <w:color w:val="5F5F5F"/>
          <w:sz w:val="21"/>
          <w:szCs w:val="21"/>
        </w:rPr>
        <w:t>注：本产品可能投资不存在活跃交易市场，并且需要采用估值技术确定公允价值的资产，且投资上述资产的比例达到理财产品净资产50%以上。</w:t>
      </w:r>
      <w:r>
        <w:rPr>
          <w:rFonts w:ascii="仿宋_GB2312" w:eastAsia="仿宋_GB2312" w:hAnsiTheme="minorHAnsi"/>
          <w:color w:val="5F5F5F"/>
          <w:sz w:val="21"/>
          <w:szCs w:val="21"/>
        </w:rPr>
        <w:t>”</w:t>
      </w:r>
    </w:p>
    <w:p>
      <w:pPr>
        <w:pStyle w:val="8"/>
        <w:shd w:val="clear" w:color="auto" w:fill="FFFFFF"/>
        <w:spacing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调整后：</w:t>
      </w:r>
    </w:p>
    <w:p>
      <w:pPr>
        <w:pStyle w:val="8"/>
        <w:shd w:val="clear" w:color="auto" w:fill="FFFFFF"/>
        <w:ind w:firstLine="480"/>
        <w:rPr>
          <w:rFonts w:ascii="仿宋_GB2312" w:eastAsia="仿宋_GB2312"/>
          <w:bCs/>
          <w:color w:val="5F5F5F"/>
          <w:sz w:val="21"/>
          <w:szCs w:val="21"/>
        </w:rPr>
      </w:pPr>
      <w:r>
        <w:rPr>
          <w:rFonts w:ascii="仿宋_GB2312" w:eastAsia="仿宋_GB2312" w:hAnsiTheme="minorHAnsi"/>
          <w:color w:val="5F5F5F"/>
          <w:sz w:val="21"/>
          <w:szCs w:val="21"/>
        </w:rPr>
        <w:t>“</w:t>
      </w:r>
      <w:r>
        <w:rPr>
          <w:rFonts w:hint="eastAsia" w:ascii="仿宋_GB2312" w:eastAsia="仿宋_GB2312"/>
          <w:bCs/>
          <w:color w:val="5F5F5F"/>
          <w:sz w:val="21"/>
          <w:szCs w:val="21"/>
        </w:rPr>
        <w:t>（1）本产品投资于债权类资产的比例不低于产品总资产的80%。</w:t>
      </w:r>
    </w:p>
    <w:p>
      <w:pPr>
        <w:pStyle w:val="8"/>
        <w:numPr>
          <w:ilvl w:val="0"/>
          <w:numId w:val="1"/>
        </w:numPr>
        <w:shd w:val="clear" w:color="auto" w:fill="FFFFFF"/>
        <w:ind w:firstLine="480"/>
        <w:rPr>
          <w:rFonts w:ascii="仿宋_GB2312" w:eastAsia="仿宋_GB2312"/>
          <w:bCs/>
          <w:color w:val="5F5F5F"/>
          <w:sz w:val="21"/>
          <w:szCs w:val="21"/>
        </w:rPr>
      </w:pPr>
      <w:r>
        <w:rPr>
          <w:rFonts w:hint="eastAsia" w:ascii="仿宋_GB2312" w:eastAsia="仿宋_GB2312"/>
          <w:bCs/>
          <w:color w:val="5F5F5F"/>
          <w:sz w:val="21"/>
          <w:szCs w:val="21"/>
        </w:rPr>
        <w:t>符合监管要求的非标准化债权类资产低于产品净资产的50%。</w:t>
      </w:r>
    </w:p>
    <w:p>
      <w:pPr>
        <w:pStyle w:val="8"/>
        <w:shd w:val="clear" w:color="auto" w:fill="FFFFFF"/>
        <w:rPr>
          <w:rFonts w:ascii="仿宋_GB2312" w:eastAsia="仿宋_GB2312"/>
          <w:bCs/>
          <w:color w:val="5F5F5F"/>
          <w:sz w:val="21"/>
          <w:szCs w:val="21"/>
        </w:rPr>
      </w:pPr>
    </w:p>
    <w:p>
      <w:pPr>
        <w:pStyle w:val="8"/>
        <w:numPr>
          <w:ilvl w:val="0"/>
          <w:numId w:val="1"/>
        </w:numPr>
        <w:shd w:val="clear" w:color="auto" w:fill="FFFFFF"/>
        <w:ind w:firstLine="480"/>
        <w:rPr>
          <w:rFonts w:ascii="仿宋_GB2312" w:eastAsia="仿宋_GB2312"/>
          <w:bCs/>
          <w:color w:val="5F5F5F"/>
          <w:sz w:val="21"/>
          <w:szCs w:val="21"/>
        </w:rPr>
      </w:pPr>
      <w:r>
        <w:rPr>
          <w:rFonts w:hint="eastAsia" w:ascii="仿宋_GB2312" w:eastAsia="仿宋_GB2312"/>
          <w:bCs/>
          <w:color w:val="5F5F5F"/>
          <w:sz w:val="21"/>
          <w:szCs w:val="21"/>
        </w:rPr>
        <w:t>国债期货、利率互换、债券借贷的合约价值占产品总资产比例不高于5%。</w:t>
      </w:r>
    </w:p>
    <w:p>
      <w:pPr>
        <w:pStyle w:val="8"/>
        <w:shd w:val="clear" w:color="auto" w:fill="FFFFFF"/>
        <w:ind w:firstLine="480"/>
        <w:rPr>
          <w:rFonts w:ascii="仿宋_GB2312" w:eastAsia="仿宋_GB2312" w:hAnsiTheme="minorHAnsi"/>
          <w:color w:val="5F5F5F"/>
          <w:sz w:val="21"/>
          <w:szCs w:val="21"/>
        </w:rPr>
      </w:pPr>
      <w:r>
        <w:rPr>
          <w:rFonts w:hint="eastAsia" w:ascii="仿宋_GB2312" w:eastAsia="仿宋_GB2312"/>
          <w:b/>
          <w:bCs/>
          <w:color w:val="5F5F5F"/>
          <w:sz w:val="21"/>
          <w:szCs w:val="21"/>
        </w:rPr>
        <w:t>注：本产品可能投资不存在活跃交易市场，并且需要采用估值技术确定公允价值的资产，且投资上述资产的比例达到理财产品净资产50%以上。</w:t>
      </w:r>
      <w:r>
        <w:rPr>
          <w:rFonts w:ascii="仿宋_GB2312" w:eastAsia="仿宋_GB2312" w:hAnsiTheme="minorHAnsi"/>
          <w:color w:val="5F5F5F"/>
          <w:sz w:val="21"/>
          <w:szCs w:val="21"/>
        </w:rPr>
        <w:t>”</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（二）理财产品销售文件</w:t>
      </w:r>
      <w:r>
        <w:rPr>
          <w:rFonts w:ascii="仿宋_GB2312" w:eastAsia="仿宋_GB2312" w:cs="宋体"/>
          <w:color w:val="5F5F5F"/>
          <w:kern w:val="0"/>
          <w:szCs w:val="21"/>
        </w:rPr>
        <w:t>其他条款变更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hint="eastAsia" w:ascii="仿宋_GB2312" w:eastAsia="仿宋_GB2312" w:cs="宋体"/>
          <w:color w:val="5F5F5F"/>
          <w:kern w:val="0"/>
          <w:szCs w:val="21"/>
        </w:rPr>
        <w:t>文本的格式进行变更，例如：释义、适合投资者</w:t>
      </w:r>
      <w:r>
        <w:rPr>
          <w:rFonts w:ascii="仿宋_GB2312" w:eastAsia="仿宋_GB2312" w:cs="宋体"/>
          <w:color w:val="5F5F5F"/>
          <w:kern w:val="0"/>
          <w:szCs w:val="21"/>
        </w:rPr>
        <w:t>类型、</w:t>
      </w:r>
      <w:r>
        <w:rPr>
          <w:rFonts w:hint="eastAsia" w:ascii="仿宋_GB2312" w:eastAsia="仿宋_GB2312" w:cs="宋体"/>
          <w:color w:val="5F5F5F"/>
          <w:kern w:val="0"/>
          <w:szCs w:val="21"/>
        </w:rPr>
        <w:t>销售</w:t>
      </w:r>
      <w:r>
        <w:rPr>
          <w:rFonts w:ascii="仿宋_GB2312" w:eastAsia="仿宋_GB2312" w:cs="宋体"/>
          <w:color w:val="5F5F5F"/>
          <w:kern w:val="0"/>
          <w:szCs w:val="21"/>
        </w:rPr>
        <w:t>对象、销售场景、</w:t>
      </w:r>
      <w:r>
        <w:rPr>
          <w:rFonts w:hint="eastAsia" w:ascii="仿宋_GB2312" w:eastAsia="仿宋_GB2312" w:cs="宋体"/>
          <w:color w:val="5F5F5F"/>
          <w:kern w:val="0"/>
          <w:szCs w:val="21"/>
        </w:rPr>
        <w:t>认购</w:t>
      </w:r>
      <w:r>
        <w:rPr>
          <w:rFonts w:ascii="仿宋_GB2312" w:eastAsia="仿宋_GB2312" w:cs="宋体"/>
          <w:color w:val="5F5F5F"/>
          <w:kern w:val="0"/>
          <w:szCs w:val="21"/>
        </w:rPr>
        <w:t>申购赎回</w:t>
      </w:r>
      <w:r>
        <w:rPr>
          <w:rFonts w:hint="eastAsia" w:ascii="仿宋_GB2312" w:eastAsia="仿宋_GB2312" w:cs="宋体"/>
          <w:color w:val="5F5F5F"/>
          <w:kern w:val="0"/>
          <w:szCs w:val="21"/>
        </w:rPr>
        <w:t>、</w:t>
      </w:r>
      <w:r>
        <w:rPr>
          <w:rFonts w:ascii="仿宋_GB2312" w:eastAsia="仿宋_GB2312" w:cs="宋体"/>
          <w:color w:val="5F5F5F"/>
          <w:kern w:val="0"/>
          <w:szCs w:val="21"/>
        </w:rPr>
        <w:t>信息披露</w:t>
      </w:r>
      <w:r>
        <w:rPr>
          <w:rFonts w:hint="eastAsia" w:ascii="仿宋_GB2312" w:eastAsia="仿宋_GB2312" w:cs="宋体"/>
          <w:color w:val="5F5F5F"/>
          <w:kern w:val="0"/>
          <w:szCs w:val="21"/>
        </w:rPr>
        <w:t>、理财产品费用、电子签约、理财产品份额质押等内容。此部分内容的调整，主要为了实现与其他同类型产品结构的理财产品销售文件实现条款表述上的统一。</w:t>
      </w:r>
    </w:p>
    <w:p>
      <w:pPr>
        <w:autoSpaceDE w:val="0"/>
        <w:autoSpaceDN w:val="0"/>
        <w:adjustRightInd w:val="0"/>
        <w:spacing w:line="360" w:lineRule="auto"/>
        <w:ind w:firstLine="422" w:firstLineChars="200"/>
        <w:jc w:val="left"/>
        <w:rPr>
          <w:rFonts w:ascii="仿宋_GB2312" w:hAnsi="宋体" w:eastAsia="仿宋_GB2312" w:cs="仿宋"/>
          <w:b/>
          <w:bCs/>
          <w:kern w:val="0"/>
          <w:szCs w:val="21"/>
        </w:rPr>
      </w:pPr>
      <w:r>
        <w:rPr>
          <w:rFonts w:hint="eastAsia" w:ascii="仿宋_GB2312" w:hAnsi="宋体" w:eastAsia="仿宋_GB2312" w:cs="仿宋"/>
          <w:b/>
          <w:bCs/>
          <w:kern w:val="0"/>
          <w:szCs w:val="21"/>
        </w:rPr>
        <w:t>二、理财产品销售文件变更的生效</w:t>
      </w:r>
    </w:p>
    <w:p>
      <w:pPr>
        <w:widowControl/>
        <w:spacing w:line="360" w:lineRule="auto"/>
        <w:ind w:firstLine="422" w:firstLineChars="200"/>
        <w:jc w:val="left"/>
        <w:rPr>
          <w:rFonts w:ascii="仿宋_GB2312" w:eastAsia="仿宋_GB2312"/>
          <w:b/>
          <w:color w:val="000000"/>
          <w:szCs w:val="21"/>
        </w:rPr>
      </w:pPr>
      <w:r>
        <w:rPr>
          <w:rFonts w:hint="eastAsia" w:ascii="仿宋_GB2312" w:eastAsia="仿宋_GB2312"/>
          <w:b/>
          <w:color w:val="000000"/>
          <w:szCs w:val="21"/>
        </w:rPr>
        <w:t>（一）变更条款的生效</w:t>
      </w:r>
    </w:p>
    <w:p>
      <w:pPr>
        <w:widowControl/>
        <w:spacing w:line="360" w:lineRule="auto"/>
        <w:ind w:firstLine="420" w:firstLineChars="200"/>
        <w:jc w:val="left"/>
        <w:rPr>
          <w:rFonts w:ascii="仿宋_GB2312" w:hAnsi="宋体" w:eastAsia="仿宋_GB2312" w:cs="仿宋"/>
          <w:kern w:val="0"/>
          <w:szCs w:val="21"/>
        </w:rPr>
      </w:pPr>
      <w:r>
        <w:rPr>
          <w:rFonts w:ascii="仿宋_GB2312" w:hAnsi="宋体" w:eastAsia="仿宋_GB2312"/>
          <w:color w:val="000000"/>
          <w:szCs w:val="21"/>
        </w:rPr>
        <w:t>1、本次</w:t>
      </w:r>
      <w:r>
        <w:rPr>
          <w:rFonts w:hint="eastAsia" w:ascii="仿宋_GB2312" w:hAnsi="宋体" w:eastAsia="仿宋_GB2312"/>
          <w:color w:val="000000"/>
          <w:szCs w:val="21"/>
        </w:rPr>
        <w:t>投资限制调整事项已依据理财产品销售文件约定履行规定程序及相应信息披露义务，符合相关法律法规的规定。</w:t>
      </w:r>
      <w:r>
        <w:rPr>
          <w:rFonts w:hint="eastAsia" w:ascii="仿宋_GB2312" w:hAnsi="宋体" w:eastAsia="仿宋_GB2312" w:cs="仿宋"/>
          <w:kern w:val="0"/>
          <w:szCs w:val="21"/>
        </w:rPr>
        <w:t>修订后的理财产品销售文件变更条款生效日为：【20</w:t>
      </w:r>
      <w:r>
        <w:rPr>
          <w:rFonts w:hint="eastAsia" w:ascii="仿宋_GB2312" w:hAnsi="宋体" w:eastAsia="仿宋_GB2312" w:cs="仿宋"/>
          <w:kern w:val="0"/>
          <w:szCs w:val="21"/>
          <w:lang w:val="en-US" w:eastAsia="zh-CN"/>
        </w:rPr>
        <w:t>24</w:t>
      </w:r>
      <w:r>
        <w:rPr>
          <w:rFonts w:hint="eastAsia" w:ascii="仿宋_GB2312" w:hAnsi="宋体" w:eastAsia="仿宋_GB2312" w:cs="仿宋"/>
          <w:kern w:val="0"/>
          <w:szCs w:val="21"/>
        </w:rPr>
        <w:t>】年【</w:t>
      </w:r>
      <w:r>
        <w:rPr>
          <w:rFonts w:hint="eastAsia" w:ascii="仿宋_GB2312" w:hAnsi="宋体" w:eastAsia="仿宋_GB2312" w:cs="仿宋"/>
          <w:kern w:val="0"/>
          <w:szCs w:val="21"/>
          <w:lang w:val="en-US" w:eastAsia="zh-CN"/>
        </w:rPr>
        <w:t>02</w:t>
      </w:r>
      <w:r>
        <w:rPr>
          <w:rFonts w:hint="eastAsia" w:ascii="仿宋_GB2312" w:hAnsi="宋体" w:eastAsia="仿宋_GB2312" w:cs="仿宋"/>
          <w:kern w:val="0"/>
          <w:szCs w:val="21"/>
        </w:rPr>
        <w:t>】月【</w:t>
      </w:r>
      <w:r>
        <w:rPr>
          <w:rFonts w:hint="eastAsia" w:ascii="仿宋_GB2312" w:hAnsi="宋体" w:eastAsia="仿宋_GB2312" w:cs="仿宋"/>
          <w:kern w:val="0"/>
          <w:szCs w:val="21"/>
          <w:lang w:val="en-US" w:eastAsia="zh-CN"/>
        </w:rPr>
        <w:t>07</w:t>
      </w:r>
      <w:r>
        <w:rPr>
          <w:rFonts w:hint="eastAsia" w:ascii="仿宋_GB2312" w:hAnsi="宋体" w:eastAsia="仿宋_GB2312" w:cs="仿宋"/>
          <w:kern w:val="0"/>
          <w:szCs w:val="21"/>
        </w:rPr>
        <w:t>】日。</w:t>
      </w:r>
    </w:p>
    <w:p>
      <w:pPr>
        <w:autoSpaceDE w:val="0"/>
        <w:autoSpaceDN w:val="0"/>
        <w:adjustRightInd w:val="0"/>
        <w:spacing w:line="360" w:lineRule="auto"/>
        <w:ind w:firstLine="420" w:firstLineChars="200"/>
        <w:jc w:val="left"/>
        <w:rPr>
          <w:rFonts w:ascii="仿宋_GB2312" w:hAnsi="宋体" w:eastAsia="仿宋_GB2312"/>
          <w:color w:val="000000"/>
          <w:szCs w:val="21"/>
        </w:rPr>
      </w:pPr>
      <w:r>
        <w:rPr>
          <w:rFonts w:ascii="仿宋_GB2312" w:hAnsi="宋体" w:eastAsia="仿宋_GB2312"/>
          <w:bCs/>
          <w:color w:val="000000"/>
          <w:szCs w:val="21"/>
        </w:rPr>
        <w:t>2、</w:t>
      </w:r>
      <w:r>
        <w:rPr>
          <w:rFonts w:hint="eastAsia" w:ascii="仿宋_GB2312" w:hAnsi="宋体" w:eastAsia="仿宋_GB2312" w:cs="仿宋"/>
          <w:kern w:val="0"/>
          <w:szCs w:val="21"/>
        </w:rPr>
        <w:t>【20</w:t>
      </w:r>
      <w:r>
        <w:rPr>
          <w:rFonts w:hint="eastAsia" w:ascii="仿宋_GB2312" w:hAnsi="宋体" w:eastAsia="仿宋_GB2312" w:cs="仿宋"/>
          <w:kern w:val="0"/>
          <w:szCs w:val="21"/>
          <w:lang w:val="en-US" w:eastAsia="zh-CN"/>
        </w:rPr>
        <w:t>24</w:t>
      </w:r>
      <w:r>
        <w:rPr>
          <w:rFonts w:hint="eastAsia" w:ascii="仿宋_GB2312" w:hAnsi="宋体" w:eastAsia="仿宋_GB2312" w:cs="仿宋"/>
          <w:kern w:val="0"/>
          <w:szCs w:val="21"/>
        </w:rPr>
        <w:t>】年【</w:t>
      </w:r>
      <w:r>
        <w:rPr>
          <w:rFonts w:hint="eastAsia" w:ascii="仿宋_GB2312" w:hAnsi="宋体" w:eastAsia="仿宋_GB2312" w:cs="仿宋"/>
          <w:kern w:val="0"/>
          <w:szCs w:val="21"/>
          <w:lang w:val="en-US" w:eastAsia="zh-CN"/>
        </w:rPr>
        <w:t>02</w:t>
      </w:r>
      <w:r>
        <w:rPr>
          <w:rFonts w:hint="eastAsia" w:ascii="仿宋_GB2312" w:hAnsi="宋体" w:eastAsia="仿宋_GB2312" w:cs="仿宋"/>
          <w:kern w:val="0"/>
          <w:szCs w:val="21"/>
        </w:rPr>
        <w:t>】月【</w:t>
      </w:r>
      <w:r>
        <w:rPr>
          <w:rFonts w:hint="eastAsia" w:ascii="仿宋_GB2312" w:hAnsi="宋体" w:eastAsia="仿宋_GB2312" w:cs="仿宋"/>
          <w:kern w:val="0"/>
          <w:szCs w:val="21"/>
          <w:lang w:val="en-US" w:eastAsia="zh-CN"/>
        </w:rPr>
        <w:t>07</w:t>
      </w:r>
      <w:r>
        <w:rPr>
          <w:rFonts w:hint="eastAsia" w:ascii="仿宋_GB2312" w:hAnsi="宋体" w:eastAsia="仿宋_GB2312" w:cs="仿宋"/>
          <w:kern w:val="0"/>
          <w:szCs w:val="21"/>
        </w:rPr>
        <w:t>】日</w:t>
      </w:r>
      <w:r>
        <w:rPr>
          <w:rFonts w:ascii="仿宋_GB2312" w:hAnsi="宋体" w:eastAsia="仿宋_GB2312"/>
          <w:bCs/>
          <w:color w:val="000000"/>
          <w:szCs w:val="21"/>
        </w:rPr>
        <w:t>（含当日）之后</w:t>
      </w:r>
      <w:r>
        <w:rPr>
          <w:rFonts w:hint="eastAsia" w:ascii="仿宋_GB2312" w:hAnsi="宋体" w:eastAsia="仿宋_GB2312"/>
          <w:color w:val="000000"/>
          <w:szCs w:val="21"/>
        </w:rPr>
        <w:t>，持有本理财产品份额的投资者，适用变更后的理财产品销售文件。</w:t>
      </w:r>
    </w:p>
    <w:p>
      <w:pPr>
        <w:autoSpaceDE w:val="0"/>
        <w:autoSpaceDN w:val="0"/>
        <w:adjustRightInd w:val="0"/>
        <w:spacing w:line="360" w:lineRule="auto"/>
        <w:ind w:firstLine="420" w:firstLineChars="200"/>
        <w:jc w:val="left"/>
        <w:rPr>
          <w:rFonts w:ascii="仿宋_GB2312" w:hAnsi="宋体" w:eastAsia="仿宋_GB2312"/>
          <w:color w:val="000000"/>
          <w:szCs w:val="21"/>
        </w:rPr>
      </w:pPr>
      <w:r>
        <w:rPr>
          <w:rFonts w:hint="eastAsia" w:ascii="仿宋_GB2312" w:hAnsi="宋体" w:eastAsia="仿宋_GB2312" w:cs="仿宋"/>
          <w:kern w:val="0"/>
          <w:szCs w:val="21"/>
        </w:rPr>
        <w:t>【20</w:t>
      </w:r>
      <w:r>
        <w:rPr>
          <w:rFonts w:hint="eastAsia" w:ascii="仿宋_GB2312" w:hAnsi="宋体" w:eastAsia="仿宋_GB2312" w:cs="仿宋"/>
          <w:kern w:val="0"/>
          <w:szCs w:val="21"/>
          <w:lang w:val="en-US" w:eastAsia="zh-CN"/>
        </w:rPr>
        <w:t>24</w:t>
      </w:r>
      <w:r>
        <w:rPr>
          <w:rFonts w:hint="eastAsia" w:ascii="仿宋_GB2312" w:hAnsi="宋体" w:eastAsia="仿宋_GB2312" w:cs="仿宋"/>
          <w:kern w:val="0"/>
          <w:szCs w:val="21"/>
        </w:rPr>
        <w:t>】年【</w:t>
      </w:r>
      <w:r>
        <w:rPr>
          <w:rFonts w:hint="eastAsia" w:ascii="仿宋_GB2312" w:hAnsi="宋体" w:eastAsia="仿宋_GB2312" w:cs="仿宋"/>
          <w:kern w:val="0"/>
          <w:szCs w:val="21"/>
          <w:lang w:val="en-US" w:eastAsia="zh-CN"/>
        </w:rPr>
        <w:t>02</w:t>
      </w:r>
      <w:r>
        <w:rPr>
          <w:rFonts w:hint="eastAsia" w:ascii="仿宋_GB2312" w:hAnsi="宋体" w:eastAsia="仿宋_GB2312" w:cs="仿宋"/>
          <w:kern w:val="0"/>
          <w:szCs w:val="21"/>
        </w:rPr>
        <w:t>】月【</w:t>
      </w:r>
      <w:r>
        <w:rPr>
          <w:rFonts w:hint="eastAsia" w:ascii="仿宋_GB2312" w:hAnsi="宋体" w:eastAsia="仿宋_GB2312" w:cs="仿宋"/>
          <w:kern w:val="0"/>
          <w:szCs w:val="21"/>
          <w:lang w:val="en-US" w:eastAsia="zh-CN"/>
        </w:rPr>
        <w:t>07</w:t>
      </w:r>
      <w:r>
        <w:rPr>
          <w:rFonts w:hint="eastAsia" w:ascii="仿宋_GB2312" w:hAnsi="宋体" w:eastAsia="仿宋_GB2312" w:cs="仿宋"/>
          <w:kern w:val="0"/>
          <w:szCs w:val="21"/>
        </w:rPr>
        <w:t>】日</w:t>
      </w:r>
      <w:r>
        <w:rPr>
          <w:rFonts w:hint="eastAsia" w:ascii="仿宋_GB2312" w:hAnsi="宋体" w:eastAsia="仿宋_GB2312"/>
          <w:color w:val="000000"/>
          <w:szCs w:val="21"/>
        </w:rPr>
        <w:t>（不含当日）之前，已持有本理财产品份额并已签署原理财产品销售文件的投资者，若不接受本次投资限制调整事项，可以依照已签署的理财产品销售文件的约定行使赎回权利赎回理财产品份额，若投资者未进行赎回而是继续持有本理财产品，则视同认可本次投资限制调整事项并同意适用变更后的理财产品销售文件。</w:t>
      </w:r>
    </w:p>
    <w:p>
      <w:pPr>
        <w:autoSpaceDE w:val="0"/>
        <w:autoSpaceDN w:val="0"/>
        <w:adjustRightInd w:val="0"/>
        <w:spacing w:line="360" w:lineRule="auto"/>
        <w:ind w:firstLine="422" w:firstLineChars="200"/>
        <w:jc w:val="left"/>
        <w:rPr>
          <w:rFonts w:ascii="仿宋_GB2312" w:hAnsi="宋体" w:eastAsia="仿宋_GB2312"/>
          <w:b/>
          <w:color w:val="000000"/>
          <w:szCs w:val="21"/>
        </w:rPr>
      </w:pPr>
      <w:r>
        <w:rPr>
          <w:rFonts w:hint="eastAsia" w:ascii="仿宋_GB2312" w:hAnsi="宋体" w:eastAsia="仿宋_GB2312"/>
          <w:b/>
          <w:color w:val="000000"/>
          <w:szCs w:val="21"/>
        </w:rPr>
        <w:t>（二）理财产品销售文件的文本替换</w:t>
      </w:r>
    </w:p>
    <w:p>
      <w:pPr>
        <w:autoSpaceDE w:val="0"/>
        <w:autoSpaceDN w:val="0"/>
        <w:adjustRightInd w:val="0"/>
        <w:spacing w:line="360" w:lineRule="auto"/>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管理人将在变更条款生效日后，及时替换更新理财产品销售文件文本。</w:t>
      </w:r>
    </w:p>
    <w:p>
      <w:pPr>
        <w:autoSpaceDE w:val="0"/>
        <w:autoSpaceDN w:val="0"/>
        <w:adjustRightInd w:val="0"/>
        <w:spacing w:line="360" w:lineRule="auto"/>
        <w:ind w:firstLine="422" w:firstLineChars="200"/>
        <w:jc w:val="left"/>
        <w:rPr>
          <w:rFonts w:ascii="仿宋_GB2312" w:hAnsi="宋体" w:eastAsia="仿宋_GB2312"/>
          <w:b/>
          <w:bCs/>
          <w:color w:val="000000"/>
          <w:szCs w:val="21"/>
        </w:rPr>
      </w:pPr>
      <w:r>
        <w:rPr>
          <w:rFonts w:hint="eastAsia" w:ascii="仿宋_GB2312" w:hAnsi="宋体" w:eastAsia="仿宋_GB2312"/>
          <w:b/>
          <w:bCs/>
          <w:color w:val="000000"/>
          <w:szCs w:val="21"/>
        </w:rPr>
        <w:t>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autoSpaceDE w:val="0"/>
        <w:autoSpaceDN w:val="0"/>
        <w:adjustRightInd w:val="0"/>
        <w:spacing w:line="360" w:lineRule="auto"/>
        <w:ind w:firstLine="422" w:firstLineChars="200"/>
        <w:jc w:val="left"/>
        <w:rPr>
          <w:rFonts w:ascii="仿宋_GB2312" w:hAnsi="宋体" w:eastAsia="仿宋_GB2312"/>
          <w:b/>
          <w:bCs/>
          <w:color w:val="000000"/>
          <w:szCs w:val="21"/>
        </w:rPr>
      </w:pPr>
      <w:r>
        <w:rPr>
          <w:rFonts w:hint="eastAsia" w:ascii="仿宋_GB2312" w:hAnsi="宋体" w:eastAsia="仿宋_GB2312"/>
          <w:b/>
          <w:bCs/>
          <w:color w:val="000000"/>
          <w:szCs w:val="21"/>
        </w:rPr>
        <w:t>三、其他</w:t>
      </w:r>
    </w:p>
    <w:p>
      <w:pPr>
        <w:autoSpaceDE w:val="0"/>
        <w:autoSpaceDN w:val="0"/>
        <w:adjustRightInd w:val="0"/>
        <w:spacing w:line="360" w:lineRule="auto"/>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如有疑问，您可向兴银理财有限责任公司客户服务热线【</w:t>
      </w:r>
      <w:r>
        <w:rPr>
          <w:rFonts w:ascii="仿宋_GB2312" w:hAnsi="宋体" w:eastAsia="仿宋_GB2312"/>
          <w:color w:val="000000"/>
          <w:szCs w:val="21"/>
        </w:rPr>
        <w:t>40015-95561】咨询。感谢您一直以来对兴银理财有限责任公司的支持！敬请继续关注兴银理财有限责任公司的理财产品。</w:t>
      </w:r>
    </w:p>
    <w:p>
      <w:pPr>
        <w:autoSpaceDE w:val="0"/>
        <w:autoSpaceDN w:val="0"/>
        <w:adjustRightInd w:val="0"/>
        <w:spacing w:line="360" w:lineRule="auto"/>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特此公告。</w:t>
      </w:r>
    </w:p>
    <w:p>
      <w:pPr>
        <w:autoSpaceDE w:val="0"/>
        <w:autoSpaceDN w:val="0"/>
        <w:adjustRightInd w:val="0"/>
        <w:spacing w:line="360" w:lineRule="auto"/>
        <w:ind w:firstLine="420" w:firstLineChars="200"/>
        <w:jc w:val="left"/>
        <w:rPr>
          <w:rFonts w:ascii="仿宋_GB2312" w:hAnsi="宋体" w:eastAsia="仿宋_GB2312"/>
          <w:color w:val="000000"/>
          <w:szCs w:val="21"/>
        </w:rPr>
      </w:pPr>
    </w:p>
    <w:p>
      <w:pPr>
        <w:autoSpaceDE w:val="0"/>
        <w:autoSpaceDN w:val="0"/>
        <w:adjustRightInd w:val="0"/>
        <w:spacing w:line="360" w:lineRule="auto"/>
        <w:ind w:firstLine="420" w:firstLineChars="200"/>
        <w:jc w:val="right"/>
        <w:rPr>
          <w:rFonts w:ascii="仿宋_GB2312" w:hAnsi="宋体" w:eastAsia="仿宋_GB2312"/>
          <w:color w:val="000000"/>
          <w:szCs w:val="21"/>
        </w:rPr>
      </w:pPr>
      <w:r>
        <w:rPr>
          <w:rFonts w:hint="eastAsia" w:ascii="仿宋_GB2312" w:hAnsi="宋体" w:eastAsia="仿宋_GB2312"/>
          <w:color w:val="000000"/>
          <w:szCs w:val="21"/>
        </w:rPr>
        <w:t>产品管理人：</w:t>
      </w:r>
      <w:r>
        <w:rPr>
          <w:rFonts w:ascii="仿宋_GB2312" w:hAnsi="宋体" w:eastAsia="仿宋_GB2312"/>
          <w:color w:val="000000"/>
          <w:szCs w:val="21"/>
        </w:rPr>
        <w:t>兴银理财有限责任公司</w:t>
      </w:r>
    </w:p>
    <w:p>
      <w:pPr>
        <w:autoSpaceDE w:val="0"/>
        <w:autoSpaceDN w:val="0"/>
        <w:adjustRightInd w:val="0"/>
        <w:spacing w:line="360" w:lineRule="auto"/>
        <w:ind w:firstLine="420" w:firstLineChars="200"/>
        <w:jc w:val="right"/>
        <w:rPr>
          <w:rFonts w:ascii="仿宋_GB2312" w:hAnsi="宋体" w:eastAsia="仿宋_GB2312"/>
          <w:color w:val="000000"/>
          <w:szCs w:val="21"/>
        </w:rPr>
      </w:pPr>
      <w:r>
        <w:rPr>
          <w:rFonts w:hint="eastAsia" w:ascii="仿宋_GB2312" w:hAnsi="宋体" w:eastAsia="仿宋_GB2312"/>
          <w:color w:val="000000"/>
          <w:szCs w:val="21"/>
        </w:rPr>
        <w:t>【2024】年【</w:t>
      </w:r>
      <w:r>
        <w:rPr>
          <w:rFonts w:hint="eastAsia" w:ascii="仿宋_GB2312" w:hAnsi="宋体" w:eastAsia="仿宋_GB2312"/>
          <w:color w:val="000000"/>
          <w:szCs w:val="21"/>
          <w:lang w:val="en-US" w:eastAsia="zh-CN"/>
        </w:rPr>
        <w:t>02</w:t>
      </w:r>
      <w:r>
        <w:rPr>
          <w:rFonts w:hint="eastAsia" w:ascii="仿宋_GB2312" w:hAnsi="宋体" w:eastAsia="仿宋_GB2312"/>
          <w:color w:val="000000"/>
          <w:szCs w:val="21"/>
        </w:rPr>
        <w:t>】月【</w:t>
      </w:r>
      <w:r>
        <w:rPr>
          <w:rFonts w:hint="eastAsia" w:ascii="仿宋_GB2312" w:hAnsi="宋体" w:eastAsia="仿宋_GB2312"/>
          <w:color w:val="000000"/>
          <w:szCs w:val="21"/>
          <w:lang w:val="en-US" w:eastAsia="zh-CN"/>
        </w:rPr>
        <w:t>05</w:t>
      </w:r>
      <w:r>
        <w:rPr>
          <w:rFonts w:hint="eastAsia" w:ascii="仿宋_GB2312" w:hAnsi="宋体" w:eastAsia="仿宋_GB2312"/>
          <w:color w:val="000000"/>
          <w:szCs w:val="21"/>
        </w:rPr>
        <w:t>】日</w:t>
      </w:r>
    </w:p>
    <w:p>
      <w:pPr>
        <w:autoSpaceDE w:val="0"/>
        <w:autoSpaceDN w:val="0"/>
        <w:adjustRightInd w:val="0"/>
        <w:spacing w:before="120" w:after="120" w:line="360" w:lineRule="auto"/>
        <w:ind w:firstLine="420" w:firstLineChars="200"/>
        <w:jc w:val="left"/>
        <w:rPr>
          <w:rFonts w:ascii="仿宋_GB2312" w:hAnsi="宋体" w:eastAsia="仿宋_GB2312" w:cs="宋体"/>
          <w:kern w:val="0"/>
          <w:szCs w:val="21"/>
        </w:rPr>
      </w:pPr>
    </w:p>
    <w:p>
      <w:pPr>
        <w:spacing w:line="360" w:lineRule="auto"/>
        <w:rPr>
          <w:rFonts w:ascii="仿宋_GB2312" w:eastAsia="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594BE"/>
    <w:multiLevelType w:val="singleLevel"/>
    <w:tmpl w:val="511594B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7DD"/>
    <w:rsid w:val="00042B5E"/>
    <w:rsid w:val="00065114"/>
    <w:rsid w:val="00077616"/>
    <w:rsid w:val="00090FB3"/>
    <w:rsid w:val="000F6B96"/>
    <w:rsid w:val="0011631A"/>
    <w:rsid w:val="0018565D"/>
    <w:rsid w:val="00194BBD"/>
    <w:rsid w:val="002315B8"/>
    <w:rsid w:val="00240B3E"/>
    <w:rsid w:val="002E640C"/>
    <w:rsid w:val="003243AB"/>
    <w:rsid w:val="00332406"/>
    <w:rsid w:val="00333216"/>
    <w:rsid w:val="00347708"/>
    <w:rsid w:val="00375C9D"/>
    <w:rsid w:val="003846A8"/>
    <w:rsid w:val="00385E7C"/>
    <w:rsid w:val="0048009E"/>
    <w:rsid w:val="00494995"/>
    <w:rsid w:val="004F16D1"/>
    <w:rsid w:val="00523928"/>
    <w:rsid w:val="005679B5"/>
    <w:rsid w:val="00576F55"/>
    <w:rsid w:val="005D152C"/>
    <w:rsid w:val="005E0FAE"/>
    <w:rsid w:val="00611147"/>
    <w:rsid w:val="00666D38"/>
    <w:rsid w:val="006C60DB"/>
    <w:rsid w:val="006D4DBF"/>
    <w:rsid w:val="006E1265"/>
    <w:rsid w:val="006F5550"/>
    <w:rsid w:val="00715931"/>
    <w:rsid w:val="007223D1"/>
    <w:rsid w:val="00735912"/>
    <w:rsid w:val="007D46F9"/>
    <w:rsid w:val="007E20AC"/>
    <w:rsid w:val="007E5BEC"/>
    <w:rsid w:val="00801241"/>
    <w:rsid w:val="008353E0"/>
    <w:rsid w:val="0087561C"/>
    <w:rsid w:val="008875D3"/>
    <w:rsid w:val="0089766B"/>
    <w:rsid w:val="008E5BD3"/>
    <w:rsid w:val="00902A5C"/>
    <w:rsid w:val="00955E45"/>
    <w:rsid w:val="009C23C8"/>
    <w:rsid w:val="009D63A6"/>
    <w:rsid w:val="00A055DB"/>
    <w:rsid w:val="00A65036"/>
    <w:rsid w:val="00B60397"/>
    <w:rsid w:val="00B62CA1"/>
    <w:rsid w:val="00B7316A"/>
    <w:rsid w:val="00BD7662"/>
    <w:rsid w:val="00C76C25"/>
    <w:rsid w:val="00D83445"/>
    <w:rsid w:val="00D92998"/>
    <w:rsid w:val="00D95962"/>
    <w:rsid w:val="00DC517C"/>
    <w:rsid w:val="00DE52BB"/>
    <w:rsid w:val="00DF1092"/>
    <w:rsid w:val="00E27F4B"/>
    <w:rsid w:val="00ED5518"/>
    <w:rsid w:val="00F11FB4"/>
    <w:rsid w:val="00F70563"/>
    <w:rsid w:val="00FA1D7C"/>
    <w:rsid w:val="00FC5ADE"/>
    <w:rsid w:val="00FE3F34"/>
    <w:rsid w:val="023D0DB1"/>
    <w:rsid w:val="025374BC"/>
    <w:rsid w:val="03AC2EC0"/>
    <w:rsid w:val="06337A6F"/>
    <w:rsid w:val="06D9695B"/>
    <w:rsid w:val="075401A3"/>
    <w:rsid w:val="08674B7E"/>
    <w:rsid w:val="0B600824"/>
    <w:rsid w:val="0D3A436C"/>
    <w:rsid w:val="10B92B47"/>
    <w:rsid w:val="15FB489F"/>
    <w:rsid w:val="187D415E"/>
    <w:rsid w:val="19CD3182"/>
    <w:rsid w:val="1A2E6F41"/>
    <w:rsid w:val="1DBC744A"/>
    <w:rsid w:val="1E5224B5"/>
    <w:rsid w:val="1F0105EF"/>
    <w:rsid w:val="1F0D74AB"/>
    <w:rsid w:val="24B71E98"/>
    <w:rsid w:val="25027D53"/>
    <w:rsid w:val="256A0E41"/>
    <w:rsid w:val="275B7390"/>
    <w:rsid w:val="29D91937"/>
    <w:rsid w:val="2EF907A6"/>
    <w:rsid w:val="2F7E1935"/>
    <w:rsid w:val="2F964EA1"/>
    <w:rsid w:val="300151DF"/>
    <w:rsid w:val="314928F4"/>
    <w:rsid w:val="341C3F27"/>
    <w:rsid w:val="35CF0EDA"/>
    <w:rsid w:val="36D20852"/>
    <w:rsid w:val="395F76AE"/>
    <w:rsid w:val="3CC14AD3"/>
    <w:rsid w:val="415B1AEE"/>
    <w:rsid w:val="45180864"/>
    <w:rsid w:val="4FA25942"/>
    <w:rsid w:val="51BD2309"/>
    <w:rsid w:val="52F817EB"/>
    <w:rsid w:val="55D43234"/>
    <w:rsid w:val="573A1F68"/>
    <w:rsid w:val="59DC6A1D"/>
    <w:rsid w:val="5C2C07B4"/>
    <w:rsid w:val="6545112A"/>
    <w:rsid w:val="690B2654"/>
    <w:rsid w:val="6CE27FED"/>
    <w:rsid w:val="6D6F62E7"/>
    <w:rsid w:val="6FAF1C2B"/>
    <w:rsid w:val="72C93CDC"/>
    <w:rsid w:val="757F279D"/>
    <w:rsid w:val="7B464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18"/>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character" w:customStyle="1" w:styleId="15">
    <w:name w:val="标题 2 Char"/>
    <w:basedOn w:val="11"/>
    <w:link w:val="2"/>
    <w:qFormat/>
    <w:uiPriority w:val="9"/>
    <w:rPr>
      <w:rFonts w:asciiTheme="majorHAnsi" w:hAnsiTheme="majorHAnsi" w:eastAsiaTheme="majorEastAsia" w:cstheme="majorBidi"/>
      <w:b/>
      <w:bCs/>
      <w:sz w:val="32"/>
      <w:szCs w:val="32"/>
    </w:rPr>
  </w:style>
  <w:style w:type="character" w:customStyle="1" w:styleId="16">
    <w:name w:val="批注框文本 Char"/>
    <w:basedOn w:val="11"/>
    <w:link w:val="4"/>
    <w:semiHidden/>
    <w:qFormat/>
    <w:uiPriority w:val="99"/>
    <w:rPr>
      <w:sz w:val="18"/>
      <w:szCs w:val="18"/>
    </w:rPr>
  </w:style>
  <w:style w:type="character" w:customStyle="1" w:styleId="17">
    <w:name w:val="批注文字 Char"/>
    <w:basedOn w:val="11"/>
    <w:link w:val="3"/>
    <w:semiHidden/>
    <w:qFormat/>
    <w:uiPriority w:val="99"/>
  </w:style>
  <w:style w:type="character" w:customStyle="1" w:styleId="18">
    <w:name w:val="批注主题 Char"/>
    <w:basedOn w:val="17"/>
    <w:link w:val="9"/>
    <w:semiHidden/>
    <w:qFormat/>
    <w:uiPriority w:val="99"/>
    <w:rPr>
      <w:b/>
      <w:bCs/>
    </w:rPr>
  </w:style>
  <w:style w:type="paragraph" w:customStyle="1" w:styleId="1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218</Words>
  <Characters>1245</Characters>
  <Lines>10</Lines>
  <Paragraphs>2</Paragraphs>
  <TotalTime>4</TotalTime>
  <ScaleCrop>false</ScaleCrop>
  <LinksUpToDate>false</LinksUpToDate>
  <CharactersWithSpaces>1461</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2022-09-19T12:10:00Z</dcterms:created>
  <dc:creator>罗钦</dc:creator>
  <cp:lastModifiedBy>cib</cp:lastModifiedBy>
  <dcterms:modified xsi:type="dcterms:W3CDTF">2024-02-08T05:48:52Z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