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DQWMY6GP796Q05BGQVR8YL0C7N8MOAPR9S0XOJD6XFB8TGLTZ6BJDC0EFS6HPC6RBNMXSOLIZIA78IXJQJFAYFFX8RM0WHWB8SOORHB37825BE5B083AD69B2DD1E5B82520116A" Type="http://schemas.microsoft.com/office/2006/relationships/officeDocumentMain" Target="docProps/core.xml"/><Relationship Id="SYWMY6GC79VQ05BGRPR80LJZ7ZD0O7GREU06WJDBXFMRTQ5T6MBJDCJ7FY9TPC6RXOMXEOLRZI6D8PNJQEFTDFFW89EMWMCB8OOO0HB311FA7184EAB1EBA81B8CFCC2EE1388F3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徽银理财净值型理财产品每周净值公告（2024年01月05日）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2024年01月05日,产品存续份额:233,065,569份，产品当日资产净值:242,542,759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2024年01月05日,产品存续份额:449,746,769份，产品当日资产净值:467,685,366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2024年01月05日,产品存续份额:13,941,350份，产品当日资产净值:14,484,455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01月05日,产品存续份额:56,862,535份，产品当日资产净值:57,613,075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01月05日,产品存续份额:2,390,000份，产品当日资产净值:2,425,538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01月05日,产品存续份额:31,172,403份，产品当日资产净值:31,444,026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01月05日,产品存续份额:3,550,000份，产品当日资产净值:3,588,159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01月05日,产品存续份额:34,963,033份，产品当日资产净值:36,203,221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01月05日,产品存续份额:70,552,652份，产品当日资产净值:73,247,905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01月05日,产品存续份额:38,340,762份，产品当日资产净值:39,630,914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2024年01月09日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