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徽银理财净值型理财产品每周净值公告（2023年12月29日）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12月29日,产品存续份额:233,065,569份，产品当日资产净值:242,362,418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1.033449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1.033449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1.034265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1.034265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1.037496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1.037496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12月29日,产品存续份额:449,746,769份，产品当日资产净值:467,313,624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1.029978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1.029978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1.036587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1.036587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12月29日,产品存续份额:13,941,350份，产品当日资产净值:14,473,201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1.030088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1.030088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1.032508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1.032508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1.034123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1.036540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1.036540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1.037347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1.037347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1.038149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1.038149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12月29日,产品存续份额:56,862,535份，产品当日资产净值:57,538,393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12月29日,产品存续份额:2,390,000份，产品当日资产净值:2,422,307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12月29日,产品存续份额:31,172,403份，产品当日资产净值:31,424,743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12月29日,产品存续份额:3,550,000份，产品当日资产净值:3,585,792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12月29日,产品存续份额:34,963,033份，产品当日资产净值:36,174,711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1.026529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1.026529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1.031424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1.031424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1.033022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1.033022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1.034656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1.034656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12月29日,产品存续份额:70,552,652份，产品当日资产净值:73,186,595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1.036348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1.036348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12月29日,产品存续份额:38,340,762份，产品当日资产净值:39,599,816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1.026375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1.026375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2023年11月24日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1.030415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1.030415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2023年12月29日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2024年01月02日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