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杭银理财幸福99丰裕固收21023期理财计划</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Theme="minorEastAsia" w:hAnsiTheme="minorEastAsia" w:cstheme="minorEastAsia"/>
          <w:sz w:val="28"/>
          <w:szCs w:val="28"/>
        </w:rPr>
      </w:pPr>
      <w:r>
        <w:rPr>
          <w:rFonts w:hint="eastAsia" w:asciiTheme="minorEastAsia" w:hAnsiTheme="minorEastAsia" w:cstheme="minorEastAsia"/>
          <w:sz w:val="28"/>
          <w:szCs w:val="28"/>
        </w:rPr>
        <w:t>尊敬的投资者：</w:t>
      </w:r>
    </w:p>
    <w:p>
      <w:pPr>
        <w:ind w:firstLine="480"/>
        <w:rPr>
          <w:rFonts w:hint="eastAsia" w:asciiTheme="minorEastAsia" w:hAnsiTheme="minorEastAsia" w:cstheme="minorEastAsia"/>
          <w:sz w:val="28"/>
          <w:szCs w:val="28"/>
        </w:rPr>
      </w:pPr>
      <w:r>
        <w:rPr>
          <w:rFonts w:hint="eastAsia" w:asciiTheme="minorEastAsia" w:hAnsiTheme="minorEastAsia" w:cstheme="minorEastAsia"/>
          <w:sz w:val="28"/>
          <w:szCs w:val="28"/>
        </w:rPr>
        <w:t>杭银理财幸福99丰裕固收21023期理财计划</w:t>
      </w:r>
      <w:r>
        <w:rPr>
          <w:sz w:val="28"/>
        </w:rPr>
        <w:t>产品已于2023年10月30日到期终止，现将相关信息公告如下：</w:t>
      </w:r>
    </w:p>
    <w:tbl>
      <w:tblPr>
        <w:tblStyle w:val="9"/>
        <w:tblW w:w="85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产品名称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杭银理财幸福99丰裕固收21023期理财计划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理财产品代码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FYG21023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产品登记编码</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Z7002221000219</w:t>
            </w:r>
            <w:r>
              <w:rPr>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产品起始日期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2021-10-20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产品终止日期</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2023-10-30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产品存续天数</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szCs w:val="22"/>
                <w:highlight w:val="none"/>
              </w:rPr>
              <w:t>产品</w:t>
            </w:r>
            <w:r>
              <w:rPr>
                <w:rFonts w:hint="eastAsia" w:asciiTheme="minorEastAsia" w:hAnsiTheme="minorEastAsia" w:cstheme="minorEastAsia"/>
                <w:sz w:val="24"/>
                <w:szCs w:val="22"/>
                <w:highlight w:val="none"/>
                <w:lang w:val="en-US" w:eastAsia="zh-CN"/>
              </w:rPr>
              <w:t>累计</w:t>
            </w:r>
            <w:r>
              <w:rPr>
                <w:rFonts w:hint="eastAsia" w:asciiTheme="minorEastAsia" w:hAnsiTheme="minorEastAsia" w:eastAsiaTheme="minorEastAsia" w:cstheme="minorEastAsia"/>
                <w:sz w:val="24"/>
                <w:szCs w:val="22"/>
                <w:highlight w:val="none"/>
              </w:rPr>
              <w:t>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1.0938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Theme="minorEastAsia" w:hAnsiTheme="minorEastAsia" w:eastAsiaTheme="minorEastAsia" w:cstheme="minorEastAsia"/>
                <w:sz w:val="24"/>
                <w:szCs w:val="22"/>
                <w:highlight w:val="none"/>
                <w:lang w:val="en-US" w:eastAsia="zh-CN"/>
              </w:rPr>
            </w:pPr>
            <w:r>
              <w:rPr>
                <w:rFonts w:hint="eastAsia" w:asciiTheme="minorEastAsia" w:hAnsiTheme="minorEastAsia" w:eastAsiaTheme="minorEastAsia" w:cstheme="minorEastAsia"/>
                <w:sz w:val="24"/>
                <w:szCs w:val="22"/>
                <w:highlight w:val="none"/>
              </w:rPr>
              <w:t>产品到期兑付净值</w:t>
            </w:r>
          </w:p>
        </w:tc>
        <w:tc>
          <w:tcPr>
            <w:tcW w:w="4582" w:type="dxa"/>
            <w:vAlign w:val="center"/>
          </w:tcPr>
          <w:p>
            <w:pPr>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1.0938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业绩比较基准</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折合年化收益率</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4.6266</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固定管理费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0.30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销售服务费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0.20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浮动管理费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80.00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托管费</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0.025</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其他费用</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0.00</w:t>
            </w:r>
            <w:r>
              <w:rPr>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szCs w:val="22"/>
              </w:rPr>
              <w:t>收益分配情况（单位：万元）</w:t>
            </w:r>
          </w:p>
        </w:tc>
        <w:tc>
          <w:tcPr>
            <w:tcW w:w="4582" w:type="dxa"/>
            <w:vAlign w:val="center"/>
          </w:tcPr>
          <w:p>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7220.98</w:t>
            </w:r>
          </w:p>
        </w:tc>
      </w:tr>
    </w:tbl>
    <w:p>
      <w:pPr>
        <w:rPr>
          <w:rFonts w:hint="eastAsia" w:asciiTheme="minorEastAsia" w:hAnsiTheme="minorEastAsia" w:eastAsiaTheme="minorEastAsia" w:cstheme="minorEastAsia"/>
          <w:sz w:val="24"/>
          <w:szCs w:val="22"/>
        </w:rPr>
      </w:pPr>
    </w:p>
    <w:p>
      <w:pPr>
        <w:ind w:firstLine="560" w:firstLineChars="200"/>
        <w:rPr>
          <w:rFonts w:hint="eastAsia" w:asciiTheme="minorEastAsia" w:hAnsiTheme="minorEastAsia" w:cstheme="minorEastAsia"/>
          <w:sz w:val="28"/>
          <w:szCs w:val="24"/>
        </w:rPr>
      </w:pPr>
      <w:r>
        <w:rPr>
          <w:rFonts w:hint="eastAsia" w:asciiTheme="minorEastAsia" w:hAnsiTheme="minorEastAsia" w:cstheme="minorEastAsia"/>
          <w:sz w:val="28"/>
          <w:szCs w:val="24"/>
        </w:rPr>
        <w:t>特此公告。</w:t>
      </w:r>
    </w:p>
    <w:p>
      <w:pPr>
        <w:rPr>
          <w:rFonts w:hint="eastAsia" w:asciiTheme="minorEastAsia" w:hAnsiTheme="minorEastAsia" w:cstheme="minorEastAsia"/>
          <w:sz w:val="24"/>
        </w:rPr>
      </w:pPr>
    </w:p>
    <w:p>
      <w:pPr>
        <w:rPr>
          <w:rFonts w:hint="eastAsia" w:asciiTheme="minorEastAsia" w:hAnsiTheme="minorEastAsia" w:cstheme="minorEastAsia"/>
          <w:sz w:val="24"/>
        </w:rPr>
      </w:pPr>
      <w:r>
        <w:rPr>
          <w:rFonts w:hint="eastAsia" w:asciiTheme="minorEastAsia" w:hAnsiTheme="minorEastAsia" w:cstheme="minorEastAsia"/>
          <w:sz w:val="24"/>
        </w:rPr>
        <w:t>注：</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托管费：原则上按日计提，逐日累计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固定管理费：原则上按日计提，逐日累计</w:t>
      </w:r>
      <w:r>
        <w:rPr>
          <w:rFonts w:hint="eastAsia" w:asciiTheme="minorEastAsia" w:hAnsiTheme="minorEastAsia" w:cstheme="minorEastAsia"/>
          <w:sz w:val="24"/>
          <w:lang w:val="en-US" w:eastAsia="zh-CN"/>
        </w:rPr>
        <w:t>至到期日</w:t>
      </w:r>
      <w:r>
        <w:rPr>
          <w:rFonts w:hint="eastAsia" w:asciiTheme="minorEastAsia" w:hAnsiTheme="minorEastAsia" w:cstheme="minorEastAsia"/>
          <w:sz w:val="24"/>
        </w:rPr>
        <w:t>从理财计划财产中扣除。</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Theme="minorEastAsia" w:hAnsiTheme="minorEastAsia" w:cstheme="minorEastAsia"/>
          <w:sz w:val="24"/>
        </w:rPr>
      </w:pPr>
      <w:r>
        <w:rPr>
          <w:rFonts w:hint="eastAsia" w:asciiTheme="minorEastAsia" w:hAnsiTheme="minorEastAsia" w:cstheme="minorEastAsia"/>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杭银理财有限责任公司</w:t>
      </w:r>
    </w:p>
    <w:p>
      <w:pPr>
        <w:jc w:val="right"/>
        <w:rPr>
          <w:rFonts w:hint="eastAsia" w:asciiTheme="minorEastAsia" w:hAnsiTheme="minorEastAsia" w:cstheme="minorEastAsia"/>
          <w:sz w:val="28"/>
          <w:szCs w:val="28"/>
        </w:rPr>
      </w:pPr>
      <w:r>
        <w:rPr>
          <w:rFonts w:hint="eastAsia" w:asciiTheme="minorEastAsia" w:hAnsiTheme="minorEastAsia" w:cstheme="minorEastAsia"/>
          <w:sz w:val="28"/>
          <w:szCs w:val="28"/>
        </w:rPr>
        <w:t>2023年11月1日</w:t>
      </w:r>
    </w:p>
    <w:sectPr>
      <w:headerReference r:id="rId3" w:type="default"/>
      <w:pgSz w:w="11906" w:h="16838"/>
      <w:pgMar w:top="2551" w:right="1803" w:bottom="2551" w:left="1803" w:header="851" w:footer="992" w:gutter="0"/>
      <w:cols w:space="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811CC"/>
    <w:multiLevelType w:val="multilevel"/>
    <w:tmpl w:val="1D3811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hideSpellingErrors/>
  <w:hideGrammaticalErrors/>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w:rsids>
    <w:rsidRoot w:val="00000000"/>
    <w:rsid w:val="5B0257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9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5</TotalTime>
  <ScaleCrop>false</ScaleCrop>
  <LinksUpToDate>false</LinksUpToDate>
  <CharactersWithSpaces>841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2023-11-02T00:50:33Z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